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72" w:rsidRPr="00EA0A72" w:rsidRDefault="00EA0A72" w:rsidP="00AD4DFF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  <w:r w:rsidR="0038137B">
        <w:rPr>
          <w:b/>
        </w:rPr>
        <w:t xml:space="preserve">                           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AD4DFF" w:rsidRDefault="00AD4DFF" w:rsidP="00AD4DFF">
      <w:pPr>
        <w:jc w:val="center"/>
        <w:rPr>
          <w:b/>
          <w:caps/>
          <w:sz w:val="32"/>
          <w:szCs w:val="32"/>
        </w:rPr>
      </w:pPr>
    </w:p>
    <w:p w:rsidR="00AD4DFF" w:rsidRDefault="00AD4DFF" w:rsidP="00AD4DFF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AD4DFF" w:rsidRDefault="00AD4DFF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0F44D7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7930E9">
        <w:rPr>
          <w:sz w:val="28"/>
          <w:szCs w:val="28"/>
        </w:rPr>
        <w:t xml:space="preserve">  </w:t>
      </w:r>
      <w:r w:rsidR="000F44D7">
        <w:rPr>
          <w:sz w:val="28"/>
          <w:szCs w:val="28"/>
        </w:rPr>
        <w:t xml:space="preserve">декабря </w:t>
      </w:r>
      <w:r w:rsidR="00AE77C2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</w:t>
        </w:r>
        <w:r w:rsidR="006D78D8">
          <w:rPr>
            <w:sz w:val="28"/>
            <w:szCs w:val="28"/>
          </w:rPr>
          <w:t>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727ECB">
        <w:rPr>
          <w:sz w:val="28"/>
          <w:szCs w:val="28"/>
        </w:rPr>
        <w:t xml:space="preserve">   </w:t>
      </w:r>
      <w:r w:rsidR="001F3EB0">
        <w:rPr>
          <w:sz w:val="28"/>
          <w:szCs w:val="28"/>
        </w:rPr>
        <w:t xml:space="preserve">     </w:t>
      </w:r>
      <w:r w:rsidR="00AE77C2">
        <w:rPr>
          <w:sz w:val="28"/>
          <w:szCs w:val="28"/>
        </w:rPr>
        <w:t xml:space="preserve">  </w:t>
      </w:r>
      <w:r w:rsidR="00AF0347">
        <w:rPr>
          <w:sz w:val="28"/>
          <w:szCs w:val="28"/>
        </w:rPr>
        <w:t xml:space="preserve">             </w:t>
      </w:r>
      <w:r w:rsidR="00727E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6E26A1">
        <w:rPr>
          <w:sz w:val="28"/>
          <w:szCs w:val="28"/>
        </w:rPr>
        <w:t xml:space="preserve"> </w:t>
      </w:r>
      <w:r w:rsidR="000F44D7">
        <w:rPr>
          <w:sz w:val="28"/>
          <w:szCs w:val="28"/>
        </w:rPr>
        <w:t>115</w:t>
      </w: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D4DFF" w:rsidRDefault="00AD4DFF" w:rsidP="00AD4DFF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AD4DFF" w:rsidRDefault="00AD4DFF" w:rsidP="00AD4DFF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AD4DFF" w:rsidRPr="00075BCA" w:rsidRDefault="00AD4DFF" w:rsidP="00AD4DFF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38137B" w:rsidRDefault="0038137B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AF0347" w:rsidRDefault="00AF0347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D31387">
        <w:rPr>
          <w:color w:val="000000"/>
        </w:rPr>
        <w:t xml:space="preserve"> «</w:t>
      </w:r>
      <w:r w:rsidR="000F44D7">
        <w:rPr>
          <w:color w:val="000000"/>
        </w:rPr>
        <w:t>19</w:t>
      </w:r>
      <w:r>
        <w:rPr>
          <w:color w:val="000000"/>
        </w:rPr>
        <w:t>»</w:t>
      </w:r>
      <w:r w:rsidR="00AD4DFF">
        <w:rPr>
          <w:color w:val="000000"/>
        </w:rPr>
        <w:t xml:space="preserve"> </w:t>
      </w:r>
      <w:r w:rsidR="000F44D7">
        <w:rPr>
          <w:color w:val="000000"/>
        </w:rPr>
        <w:t xml:space="preserve">декабря </w:t>
      </w:r>
      <w:r w:rsidR="00AF0347">
        <w:rPr>
          <w:color w:val="000000"/>
        </w:rPr>
        <w:t xml:space="preserve">  </w:t>
      </w:r>
      <w:r>
        <w:rPr>
          <w:color w:val="000000"/>
        </w:rPr>
        <w:t>201</w:t>
      </w:r>
      <w:r w:rsidR="00D31387">
        <w:rPr>
          <w:color w:val="000000"/>
        </w:rPr>
        <w:t>6</w:t>
      </w:r>
      <w:r>
        <w:rPr>
          <w:color w:val="000000"/>
        </w:rPr>
        <w:t xml:space="preserve">г. </w:t>
      </w:r>
      <w:r w:rsidRPr="00F37310">
        <w:rPr>
          <w:color w:val="000000"/>
        </w:rPr>
        <w:t>  №</w:t>
      </w:r>
      <w:r w:rsidR="00AE77C2">
        <w:rPr>
          <w:color w:val="000000"/>
        </w:rPr>
        <w:t xml:space="preserve"> </w:t>
      </w:r>
      <w:r w:rsidR="000F44D7">
        <w:rPr>
          <w:color w:val="000000"/>
        </w:rPr>
        <w:t>115</w:t>
      </w:r>
      <w:bookmarkStart w:id="0" w:name="_GoBack"/>
      <w:bookmarkEnd w:id="0"/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8137B" w:rsidRDefault="0038137B" w:rsidP="00423E7E">
      <w:pPr>
        <w:shd w:val="clear" w:color="auto" w:fill="FFFFFF"/>
        <w:spacing w:line="270" w:lineRule="atLeast"/>
        <w:ind w:firstLine="150"/>
        <w:jc w:val="center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38137B" w:rsidRDefault="0038137B" w:rsidP="0038137B">
            <w:pPr>
              <w:widowControl w:val="0"/>
              <w:autoSpaceDE w:val="0"/>
              <w:autoSpaceDN w:val="0"/>
              <w:adjustRightInd w:val="0"/>
              <w:spacing w:line="276" w:lineRule="auto"/>
              <w:ind w:left="709"/>
              <w:jc w:val="both"/>
              <w:rPr>
                <w:sz w:val="28"/>
                <w:szCs w:val="28"/>
              </w:rPr>
            </w:pP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 w:rsidR="007930E9">
              <w:rPr>
                <w:color w:val="000000"/>
                <w:sz w:val="28"/>
                <w:szCs w:val="28"/>
              </w:rPr>
              <w:t>6</w:t>
            </w:r>
            <w:r w:rsidR="00ED3C78">
              <w:rPr>
                <w:color w:val="000000"/>
                <w:sz w:val="28"/>
                <w:szCs w:val="28"/>
              </w:rPr>
              <w:t>5</w:t>
            </w:r>
            <w:r w:rsidR="00EA0A72">
              <w:rPr>
                <w:color w:val="000000"/>
                <w:sz w:val="28"/>
                <w:szCs w:val="28"/>
              </w:rPr>
              <w:t>321</w:t>
            </w:r>
            <w:r w:rsidR="00ED3C78">
              <w:rPr>
                <w:color w:val="000000"/>
                <w:sz w:val="28"/>
                <w:szCs w:val="28"/>
              </w:rPr>
              <w:t>0,31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ED3C78">
              <w:rPr>
                <w:color w:val="000000"/>
                <w:sz w:val="28"/>
                <w:szCs w:val="28"/>
              </w:rPr>
              <w:t>23</w:t>
            </w:r>
            <w:r w:rsidR="00EA0A72">
              <w:rPr>
                <w:color w:val="000000"/>
                <w:sz w:val="28"/>
                <w:szCs w:val="28"/>
              </w:rPr>
              <w:t>8430</w:t>
            </w:r>
            <w:r w:rsidR="00ED3C78">
              <w:rPr>
                <w:color w:val="000000"/>
                <w:sz w:val="28"/>
                <w:szCs w:val="28"/>
              </w:rPr>
              <w:t>,31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 w:rsidR="007930E9">
              <w:rPr>
                <w:color w:val="000000"/>
                <w:sz w:val="28"/>
                <w:szCs w:val="28"/>
              </w:rPr>
              <w:t xml:space="preserve"> 2</w:t>
            </w:r>
            <w:r w:rsidR="0038137B">
              <w:rPr>
                <w:color w:val="000000"/>
                <w:sz w:val="28"/>
                <w:szCs w:val="28"/>
              </w:rPr>
              <w:t>6</w:t>
            </w:r>
            <w:r w:rsidR="00ED3C78">
              <w:rPr>
                <w:color w:val="000000"/>
                <w:sz w:val="28"/>
                <w:szCs w:val="28"/>
              </w:rPr>
              <w:t>23</w:t>
            </w:r>
            <w:r w:rsidR="0038137B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38137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</w:p>
    <w:p w:rsidR="0038137B" w:rsidRDefault="0038137B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38137B">
      <w:pPr>
        <w:shd w:val="clear" w:color="auto" w:fill="FFFFFF"/>
        <w:jc w:val="both"/>
        <w:rPr>
          <w:color w:val="000000"/>
          <w:sz w:val="28"/>
          <w:szCs w:val="28"/>
        </w:rPr>
      </w:pPr>
      <w:r w:rsidRPr="00C071D5">
        <w:rPr>
          <w:color w:val="000000"/>
          <w:sz w:val="28"/>
          <w:szCs w:val="28"/>
        </w:rPr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 w:rsidR="007930E9">
        <w:rPr>
          <w:color w:val="000000"/>
          <w:sz w:val="28"/>
          <w:szCs w:val="28"/>
        </w:rPr>
        <w:t>6</w:t>
      </w:r>
      <w:r w:rsidR="00ED3C78">
        <w:rPr>
          <w:color w:val="000000"/>
          <w:sz w:val="28"/>
          <w:szCs w:val="28"/>
        </w:rPr>
        <w:t>5</w:t>
      </w:r>
      <w:r w:rsidR="00EA0A72">
        <w:rPr>
          <w:color w:val="000000"/>
          <w:sz w:val="28"/>
          <w:szCs w:val="28"/>
        </w:rPr>
        <w:t>321</w:t>
      </w:r>
      <w:r w:rsidR="00ED3C78">
        <w:rPr>
          <w:color w:val="000000"/>
          <w:sz w:val="28"/>
          <w:szCs w:val="28"/>
        </w:rPr>
        <w:t>0,31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3</w:t>
      </w:r>
      <w:r w:rsidR="00EA0A72">
        <w:rPr>
          <w:color w:val="000000"/>
          <w:sz w:val="28"/>
          <w:szCs w:val="28"/>
        </w:rPr>
        <w:t>843</w:t>
      </w:r>
      <w:r w:rsidR="00ED3C78">
        <w:rPr>
          <w:color w:val="000000"/>
          <w:sz w:val="28"/>
          <w:szCs w:val="28"/>
        </w:rPr>
        <w:t>0,31</w:t>
      </w:r>
      <w:r>
        <w:rPr>
          <w:color w:val="000000"/>
          <w:sz w:val="28"/>
          <w:szCs w:val="28"/>
        </w:rPr>
        <w:t xml:space="preserve">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 w:rsidR="007930E9">
        <w:rPr>
          <w:color w:val="000000"/>
          <w:sz w:val="28"/>
          <w:szCs w:val="28"/>
        </w:rPr>
        <w:t>2</w:t>
      </w:r>
      <w:r w:rsidR="0038137B">
        <w:rPr>
          <w:color w:val="000000"/>
          <w:sz w:val="28"/>
          <w:szCs w:val="28"/>
        </w:rPr>
        <w:t>6</w:t>
      </w:r>
      <w:r w:rsidR="00ED3C78">
        <w:rPr>
          <w:color w:val="000000"/>
          <w:sz w:val="28"/>
          <w:szCs w:val="28"/>
        </w:rPr>
        <w:t>23</w:t>
      </w:r>
      <w:r w:rsidR="0038137B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6309A8" w:rsidRDefault="006309A8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2015-201</w:t>
      </w:r>
      <w:r>
        <w:rPr>
          <w:color w:val="000000"/>
        </w:rPr>
        <w:t>7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511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0"/>
        <w:gridCol w:w="4408"/>
        <w:gridCol w:w="984"/>
        <w:gridCol w:w="1317"/>
        <w:gridCol w:w="1135"/>
        <w:gridCol w:w="1418"/>
      </w:tblGrid>
      <w:tr w:rsidR="00423E7E" w:rsidRPr="00A76D5E" w:rsidTr="00E520C2">
        <w:trPr>
          <w:trHeight w:val="640"/>
          <w:tblHeader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22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E520C2">
        <w:trPr>
          <w:trHeight w:val="840"/>
          <w:tblHeader/>
        </w:trPr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673" w:type="pct"/>
          </w:tcPr>
          <w:p w:rsidR="00423E7E" w:rsidRPr="00A76D5E" w:rsidRDefault="00ED3C78" w:rsidP="006E26A1">
            <w:pPr>
              <w:shd w:val="clear" w:color="auto" w:fill="FFFFFF"/>
              <w:jc w:val="both"/>
            </w:pPr>
            <w:r>
              <w:t>80936</w:t>
            </w:r>
          </w:p>
        </w:tc>
        <w:tc>
          <w:tcPr>
            <w:tcW w:w="580" w:type="pct"/>
          </w:tcPr>
          <w:p w:rsidR="00423E7E" w:rsidRPr="00A76D5E" w:rsidRDefault="007930E9" w:rsidP="0023628C">
            <w:pPr>
              <w:shd w:val="clear" w:color="auto" w:fill="FFFFFF"/>
              <w:jc w:val="both"/>
            </w:pPr>
            <w:r>
              <w:t>78800</w:t>
            </w:r>
          </w:p>
        </w:tc>
        <w:tc>
          <w:tcPr>
            <w:tcW w:w="724" w:type="pct"/>
          </w:tcPr>
          <w:p w:rsidR="00423E7E" w:rsidRPr="00A76D5E" w:rsidRDefault="007930E9" w:rsidP="00ED3C78">
            <w:pPr>
              <w:shd w:val="clear" w:color="auto" w:fill="FFFFFF"/>
              <w:jc w:val="both"/>
            </w:pPr>
            <w:r>
              <w:t>2</w:t>
            </w:r>
            <w:r w:rsidR="006309A8">
              <w:t>2</w:t>
            </w:r>
            <w:r w:rsidR="00ED3C78">
              <w:t>8036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724" w:type="pct"/>
          </w:tcPr>
          <w:p w:rsidR="00423E7E" w:rsidRPr="00A76D5E" w:rsidRDefault="007930E9" w:rsidP="0023628C">
            <w:pPr>
              <w:shd w:val="clear" w:color="auto" w:fill="FFFFFF"/>
              <w:jc w:val="both"/>
            </w:pPr>
            <w:r>
              <w:t>1000</w:t>
            </w:r>
            <w:r w:rsidR="006309A8">
              <w:t>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03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673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20964</w:t>
            </w:r>
          </w:p>
        </w:tc>
        <w:tc>
          <w:tcPr>
            <w:tcW w:w="580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724" w:type="pct"/>
          </w:tcPr>
          <w:p w:rsidR="00423E7E" w:rsidRPr="00A76D5E" w:rsidRDefault="00ED3C78" w:rsidP="0023628C">
            <w:pPr>
              <w:shd w:val="clear" w:color="auto" w:fill="FFFFFF"/>
              <w:jc w:val="both"/>
            </w:pPr>
            <w:r>
              <w:t>55964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673" w:type="pct"/>
          </w:tcPr>
          <w:p w:rsidR="00423E7E" w:rsidRPr="001B7FC4" w:rsidRDefault="00ED3C78" w:rsidP="0023628C">
            <w:r>
              <w:t>2980,31</w:t>
            </w:r>
          </w:p>
        </w:tc>
        <w:tc>
          <w:tcPr>
            <w:tcW w:w="580" w:type="pct"/>
          </w:tcPr>
          <w:p w:rsidR="00423E7E" w:rsidRPr="001B7FC4" w:rsidRDefault="00423E7E" w:rsidP="0023628C">
            <w:r w:rsidRPr="001B7FC4">
              <w:t>4000</w:t>
            </w:r>
          </w:p>
        </w:tc>
        <w:tc>
          <w:tcPr>
            <w:tcW w:w="724" w:type="pct"/>
          </w:tcPr>
          <w:p w:rsidR="00423E7E" w:rsidRPr="00A76D5E" w:rsidRDefault="00ED3C78" w:rsidP="007930E9">
            <w:pPr>
              <w:shd w:val="clear" w:color="auto" w:fill="FFFFFF"/>
              <w:jc w:val="both"/>
            </w:pPr>
            <w:r>
              <w:t>10190,31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673" w:type="pct"/>
          </w:tcPr>
          <w:p w:rsidR="00423E7E" w:rsidRPr="001B7FC4" w:rsidRDefault="00ED3C78" w:rsidP="006309A8">
            <w:r>
              <w:t>55700</w:t>
            </w:r>
          </w:p>
        </w:tc>
        <w:tc>
          <w:tcPr>
            <w:tcW w:w="580" w:type="pct"/>
          </w:tcPr>
          <w:p w:rsidR="00423E7E" w:rsidRPr="001B7FC4" w:rsidRDefault="00ED3C78" w:rsidP="0023628C">
            <w:r>
              <w:t>60000</w:t>
            </w:r>
          </w:p>
        </w:tc>
        <w:tc>
          <w:tcPr>
            <w:tcW w:w="724" w:type="pct"/>
          </w:tcPr>
          <w:p w:rsidR="00423E7E" w:rsidRPr="00A76D5E" w:rsidRDefault="007930E9" w:rsidP="00ED3C78">
            <w:pPr>
              <w:shd w:val="clear" w:color="auto" w:fill="FFFFFF"/>
              <w:jc w:val="both"/>
            </w:pPr>
            <w:r>
              <w:t>1</w:t>
            </w:r>
            <w:r w:rsidR="006309A8">
              <w:t>6</w:t>
            </w:r>
            <w:r w:rsidR="00ED3C78">
              <w:t>50</w:t>
            </w:r>
            <w:r>
              <w:t>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73" w:type="pct"/>
          </w:tcPr>
          <w:p w:rsidR="00423E7E" w:rsidRPr="001B7FC4" w:rsidRDefault="00425BEA" w:rsidP="006E26A1">
            <w:pPr>
              <w:shd w:val="clear" w:color="auto" w:fill="FFFFFF"/>
              <w:jc w:val="both"/>
            </w:pPr>
            <w:r>
              <w:t>7680</w:t>
            </w:r>
          </w:p>
        </w:tc>
        <w:tc>
          <w:tcPr>
            <w:tcW w:w="580" w:type="pct"/>
          </w:tcPr>
          <w:p w:rsidR="00423E7E" w:rsidRPr="001B7FC4" w:rsidRDefault="006309A8" w:rsidP="0023628C">
            <w:pPr>
              <w:shd w:val="clear" w:color="auto" w:fill="FFFFFF"/>
              <w:jc w:val="both"/>
            </w:pPr>
            <w:r>
              <w:t>1</w:t>
            </w:r>
            <w:r w:rsidR="00423E7E">
              <w:t>6000</w:t>
            </w:r>
          </w:p>
        </w:tc>
        <w:tc>
          <w:tcPr>
            <w:tcW w:w="724" w:type="pct"/>
          </w:tcPr>
          <w:p w:rsidR="00423E7E" w:rsidRPr="00A76D5E" w:rsidRDefault="00EB5D0D" w:rsidP="0023628C">
            <w:pPr>
              <w:shd w:val="clear" w:color="auto" w:fill="FFFFFF"/>
              <w:jc w:val="both"/>
            </w:pPr>
            <w:r>
              <w:t>29680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25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03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673" w:type="pct"/>
          </w:tcPr>
          <w:p w:rsidR="00423E7E" w:rsidRPr="001B7FC4" w:rsidRDefault="00425BEA" w:rsidP="006E26A1">
            <w:r>
              <w:t>70170</w:t>
            </w:r>
          </w:p>
        </w:tc>
        <w:tc>
          <w:tcPr>
            <w:tcW w:w="580" w:type="pct"/>
          </w:tcPr>
          <w:p w:rsidR="00423E7E" w:rsidRPr="001B7FC4" w:rsidRDefault="00423E7E" w:rsidP="0023628C">
            <w:r>
              <w:t>7000</w:t>
            </w:r>
            <w:r w:rsidR="007930E9">
              <w:t>0</w:t>
            </w:r>
          </w:p>
        </w:tc>
        <w:tc>
          <w:tcPr>
            <w:tcW w:w="724" w:type="pct"/>
          </w:tcPr>
          <w:p w:rsidR="00423E7E" w:rsidRPr="00A76D5E" w:rsidRDefault="00EB5D0D" w:rsidP="006309A8">
            <w:pPr>
              <w:shd w:val="clear" w:color="auto" w:fill="FFFFFF"/>
              <w:jc w:val="both"/>
            </w:pPr>
            <w:r>
              <w:t>150840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253" w:type="pct"/>
          </w:tcPr>
          <w:p w:rsidR="00423E7E" w:rsidRDefault="00423E7E" w:rsidP="00D31387">
            <w:pPr>
              <w:shd w:val="clear" w:color="auto" w:fill="FFFFFF"/>
              <w:jc w:val="both"/>
            </w:pPr>
            <w:r>
              <w:t>Приобретение</w:t>
            </w:r>
            <w:r w:rsidR="00D31387">
              <w:t xml:space="preserve"> </w:t>
            </w:r>
            <w:r w:rsidR="00D31387" w:rsidRPr="00D31387">
              <w:t xml:space="preserve"> программ</w:t>
            </w:r>
          </w:p>
        </w:tc>
        <w:tc>
          <w:tcPr>
            <w:tcW w:w="503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673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80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724" w:type="pct"/>
          </w:tcPr>
          <w:p w:rsidR="00423E7E" w:rsidRDefault="00E520C2" w:rsidP="00E520C2">
            <w:pPr>
              <w:shd w:val="clear" w:color="auto" w:fill="FFFFFF"/>
              <w:jc w:val="both"/>
            </w:pPr>
            <w:r>
              <w:t>3</w:t>
            </w:r>
            <w:r w:rsidR="006309A8">
              <w:t>5</w:t>
            </w:r>
            <w:r w:rsidR="00423E7E">
              <w:t>00</w:t>
            </w:r>
          </w:p>
        </w:tc>
      </w:tr>
      <w:tr w:rsidR="00423E7E" w:rsidRPr="00A76D5E" w:rsidTr="00E52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6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253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03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673" w:type="pct"/>
          </w:tcPr>
          <w:p w:rsidR="00423E7E" w:rsidRPr="001B7FC4" w:rsidRDefault="00425BEA" w:rsidP="00E520C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238430</w:t>
            </w:r>
            <w:r w:rsidR="00E520C2">
              <w:rPr>
                <w:b/>
              </w:rPr>
              <w:t>,31</w:t>
            </w:r>
          </w:p>
        </w:tc>
        <w:tc>
          <w:tcPr>
            <w:tcW w:w="580" w:type="pct"/>
          </w:tcPr>
          <w:p w:rsidR="00423E7E" w:rsidRPr="001B7FC4" w:rsidRDefault="007930E9" w:rsidP="00E520C2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6309A8">
              <w:rPr>
                <w:b/>
              </w:rPr>
              <w:t>6</w:t>
            </w:r>
            <w:r w:rsidR="00E520C2">
              <w:rPr>
                <w:b/>
              </w:rPr>
              <w:t>23</w:t>
            </w:r>
            <w:r>
              <w:rPr>
                <w:b/>
              </w:rPr>
              <w:t>00</w:t>
            </w:r>
          </w:p>
        </w:tc>
        <w:tc>
          <w:tcPr>
            <w:tcW w:w="724" w:type="pct"/>
          </w:tcPr>
          <w:p w:rsidR="00423E7E" w:rsidRPr="00FA4FA3" w:rsidRDefault="00B12D80" w:rsidP="00EB5D0D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E520C2">
              <w:rPr>
                <w:b/>
              </w:rPr>
              <w:t>5</w:t>
            </w:r>
            <w:r w:rsidR="00EB5D0D">
              <w:rPr>
                <w:b/>
              </w:rPr>
              <w:t>321</w:t>
            </w:r>
            <w:r w:rsidR="00E520C2">
              <w:rPr>
                <w:b/>
              </w:rPr>
              <w:t>0,31</w:t>
            </w:r>
          </w:p>
        </w:tc>
      </w:tr>
    </w:tbl>
    <w:p w:rsidR="0062201E" w:rsidRDefault="0062201E"/>
    <w:sectPr w:rsidR="0062201E" w:rsidSect="003813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047B3A"/>
    <w:rsid w:val="000F44D7"/>
    <w:rsid w:val="00122BBA"/>
    <w:rsid w:val="001F3EB0"/>
    <w:rsid w:val="0038137B"/>
    <w:rsid w:val="00423E7E"/>
    <w:rsid w:val="00425072"/>
    <w:rsid w:val="00425BEA"/>
    <w:rsid w:val="004B19B7"/>
    <w:rsid w:val="0062201E"/>
    <w:rsid w:val="006309A8"/>
    <w:rsid w:val="006D78D8"/>
    <w:rsid w:val="006E26A1"/>
    <w:rsid w:val="00727ECB"/>
    <w:rsid w:val="007930E9"/>
    <w:rsid w:val="009A722D"/>
    <w:rsid w:val="00AD4DFF"/>
    <w:rsid w:val="00AE77C2"/>
    <w:rsid w:val="00AF0347"/>
    <w:rsid w:val="00B12D80"/>
    <w:rsid w:val="00B74D7E"/>
    <w:rsid w:val="00D31387"/>
    <w:rsid w:val="00DD77AB"/>
    <w:rsid w:val="00E4688E"/>
    <w:rsid w:val="00E520C2"/>
    <w:rsid w:val="00EA0A72"/>
    <w:rsid w:val="00EB5D0D"/>
    <w:rsid w:val="00E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A8758-ED08-4499-ADF7-BBC43B6B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9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33</cp:revision>
  <cp:lastPrinted>2016-12-19T12:37:00Z</cp:lastPrinted>
  <dcterms:created xsi:type="dcterms:W3CDTF">2015-10-12T07:33:00Z</dcterms:created>
  <dcterms:modified xsi:type="dcterms:W3CDTF">2016-12-19T12:37:00Z</dcterms:modified>
</cp:coreProperties>
</file>