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29" w:rsidRPr="009A3329" w:rsidRDefault="006A785B" w:rsidP="009A3329">
      <w:pPr>
        <w:autoSpaceDE w:val="0"/>
        <w:autoSpaceDN w:val="0"/>
        <w:adjustRightInd w:val="0"/>
        <w:ind w:firstLine="284"/>
        <w:jc w:val="right"/>
        <w:rPr>
          <w:rFonts w:ascii="Times New Roman" w:eastAsia="Times New Roman" w:hAnsi="Times New Roman"/>
          <w:b/>
          <w:sz w:val="28"/>
          <w:szCs w:val="28"/>
        </w:rPr>
      </w:pPr>
      <w:r>
        <w:rPr>
          <w:rFonts w:ascii="Times New Roman" w:eastAsia="Times New Roman" w:hAnsi="Times New Roman"/>
          <w:b/>
          <w:sz w:val="28"/>
          <w:szCs w:val="28"/>
        </w:rPr>
        <w:t>Приложение</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процентов (по состоянию на 01.01.2020)</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4670A9" w:rsidTr="00201186">
        <w:trPr>
          <w:trHeight w:val="726"/>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4670A9" w:rsidRDefault="004670A9"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3215" w:type="dxa"/>
            <w:shd w:val="clear" w:color="auto" w:fill="auto"/>
            <w:hideMark/>
          </w:tcPr>
          <w:p w:rsidR="006A785B" w:rsidRPr="004670A9" w:rsidRDefault="006A785B" w:rsidP="006A785B">
            <w:pPr>
              <w:ind w:firstLine="0"/>
              <w:jc w:val="both"/>
              <w:rPr>
                <w:rFonts w:ascii="Times New Roman" w:eastAsia="Times New Roman" w:hAnsi="Times New Roman"/>
                <w:color w:val="000000"/>
                <w:lang w:eastAsia="ru-RU"/>
              </w:rPr>
            </w:pPr>
            <w:r w:rsidRPr="004670A9">
              <w:rPr>
                <w:rFonts w:ascii="Times New Roman" w:eastAsia="Times New Roman" w:hAnsi="Times New Roman"/>
                <w:color w:val="000000"/>
                <w:lang w:eastAsia="ru-RU"/>
              </w:rPr>
              <w:t>Муниципальное унитарное предприятие «</w:t>
            </w:r>
            <w:proofErr w:type="spellStart"/>
            <w:r w:rsidRPr="004670A9">
              <w:rPr>
                <w:rFonts w:ascii="Times New Roman" w:eastAsia="Times New Roman" w:hAnsi="Times New Roman"/>
                <w:color w:val="000000"/>
                <w:lang w:eastAsia="ru-RU"/>
              </w:rPr>
              <w:t>Райжилкомхоз</w:t>
            </w:r>
            <w:proofErr w:type="spellEnd"/>
            <w:r w:rsidRPr="004670A9">
              <w:rPr>
                <w:rFonts w:ascii="Times New Roman" w:eastAsia="Times New Roman" w:hAnsi="Times New Roman"/>
                <w:color w:val="000000"/>
                <w:lang w:eastAsia="ru-RU"/>
              </w:rPr>
              <w:t>»</w:t>
            </w:r>
          </w:p>
        </w:tc>
        <w:tc>
          <w:tcPr>
            <w:tcW w:w="1276" w:type="dxa"/>
            <w:shd w:val="clear" w:color="auto" w:fill="auto"/>
            <w:hideMark/>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100%</w:t>
            </w:r>
          </w:p>
        </w:tc>
        <w:tc>
          <w:tcPr>
            <w:tcW w:w="3685" w:type="dxa"/>
            <w:shd w:val="clear" w:color="auto" w:fill="auto"/>
            <w:hideMark/>
          </w:tcPr>
          <w:p w:rsidR="006A785B" w:rsidRPr="004670A9" w:rsidRDefault="006A785B" w:rsidP="006A785B">
            <w:pPr>
              <w:ind w:firstLine="0"/>
              <w:jc w:val="both"/>
              <w:rPr>
                <w:rFonts w:ascii="Times New Roman" w:eastAsia="Times New Roman" w:hAnsi="Times New Roman"/>
                <w:color w:val="000000"/>
                <w:lang w:eastAsia="ru-RU"/>
              </w:rPr>
            </w:pPr>
            <w:r w:rsidRPr="004670A9">
              <w:rPr>
                <w:rFonts w:ascii="Times New Roman" w:eastAsia="Times New Roman" w:hAnsi="Times New Roman"/>
                <w:color w:val="000000"/>
                <w:lang w:eastAsia="ru-RU"/>
              </w:rPr>
              <w:t>Теплоснабжение; водоснабжение, водоотведение</w:t>
            </w:r>
          </w:p>
        </w:tc>
        <w:tc>
          <w:tcPr>
            <w:tcW w:w="1701" w:type="dxa"/>
            <w:shd w:val="clear" w:color="auto" w:fill="auto"/>
          </w:tcPr>
          <w:p w:rsidR="006A785B" w:rsidRPr="004670A9" w:rsidRDefault="006A785B" w:rsidP="006A785B">
            <w:pPr>
              <w:ind w:left="-108" w:right="-111"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Муниципальный район Сызранский</w:t>
            </w:r>
          </w:p>
        </w:tc>
        <w:tc>
          <w:tcPr>
            <w:tcW w:w="1701" w:type="dxa"/>
            <w:shd w:val="clear" w:color="auto" w:fill="auto"/>
            <w:hideMark/>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&lt;80%</w:t>
            </w:r>
          </w:p>
        </w:tc>
        <w:tc>
          <w:tcPr>
            <w:tcW w:w="1560" w:type="dxa"/>
            <w:shd w:val="clear" w:color="auto" w:fill="auto"/>
            <w:hideMark/>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&lt;80%</w:t>
            </w:r>
          </w:p>
        </w:tc>
        <w:tc>
          <w:tcPr>
            <w:tcW w:w="1984" w:type="dxa"/>
            <w:shd w:val="clear" w:color="auto" w:fill="auto"/>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0</w:t>
            </w:r>
          </w:p>
        </w:tc>
      </w:tr>
      <w:tr w:rsidR="006A785B" w:rsidRPr="004670A9" w:rsidTr="00201186">
        <w:trPr>
          <w:trHeight w:val="809"/>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4670A9" w:rsidRDefault="004670A9" w:rsidP="006A785B">
            <w:pPr>
              <w:ind w:left="-142" w:right="-108"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bookmarkStart w:id="0" w:name="_GoBack"/>
            <w:bookmarkEnd w:id="0"/>
          </w:p>
        </w:tc>
        <w:tc>
          <w:tcPr>
            <w:tcW w:w="3215" w:type="dxa"/>
            <w:shd w:val="clear" w:color="auto" w:fill="auto"/>
            <w:hideMark/>
          </w:tcPr>
          <w:p w:rsidR="006A785B" w:rsidRPr="004670A9" w:rsidRDefault="006A785B" w:rsidP="006A785B">
            <w:pPr>
              <w:ind w:firstLine="0"/>
              <w:jc w:val="both"/>
              <w:rPr>
                <w:rFonts w:ascii="Times New Roman" w:eastAsia="Times New Roman" w:hAnsi="Times New Roman"/>
                <w:color w:val="000000"/>
                <w:lang w:eastAsia="ru-RU"/>
              </w:rPr>
            </w:pPr>
            <w:r w:rsidRPr="004670A9">
              <w:rPr>
                <w:rFonts w:ascii="Times New Roman" w:eastAsia="Times New Roman" w:hAnsi="Times New Roman"/>
                <w:color w:val="000000"/>
                <w:lang w:eastAsia="ru-RU"/>
              </w:rPr>
              <w:t>Муниципальное унитарное предприятие «</w:t>
            </w:r>
            <w:proofErr w:type="spellStart"/>
            <w:r w:rsidRPr="004670A9">
              <w:rPr>
                <w:rFonts w:ascii="Times New Roman" w:eastAsia="Times New Roman" w:hAnsi="Times New Roman"/>
                <w:color w:val="000000"/>
                <w:lang w:eastAsia="ru-RU"/>
              </w:rPr>
              <w:t>Балашейское</w:t>
            </w:r>
            <w:proofErr w:type="spellEnd"/>
            <w:r w:rsidRPr="004670A9">
              <w:rPr>
                <w:rFonts w:ascii="Times New Roman" w:eastAsia="Times New Roman" w:hAnsi="Times New Roman"/>
                <w:color w:val="000000"/>
                <w:lang w:eastAsia="ru-RU"/>
              </w:rPr>
              <w:t xml:space="preserve"> ЖКХ»</w:t>
            </w:r>
          </w:p>
        </w:tc>
        <w:tc>
          <w:tcPr>
            <w:tcW w:w="1276" w:type="dxa"/>
            <w:shd w:val="clear" w:color="auto" w:fill="auto"/>
            <w:hideMark/>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100%</w:t>
            </w:r>
          </w:p>
        </w:tc>
        <w:tc>
          <w:tcPr>
            <w:tcW w:w="3685" w:type="dxa"/>
            <w:shd w:val="clear" w:color="auto" w:fill="auto"/>
            <w:hideMark/>
          </w:tcPr>
          <w:p w:rsidR="006A785B" w:rsidRPr="004670A9" w:rsidRDefault="006A785B" w:rsidP="006A785B">
            <w:pPr>
              <w:ind w:firstLine="0"/>
              <w:jc w:val="both"/>
              <w:rPr>
                <w:rFonts w:ascii="Times New Roman" w:eastAsia="Times New Roman" w:hAnsi="Times New Roman"/>
                <w:color w:val="000000"/>
                <w:lang w:eastAsia="ru-RU"/>
              </w:rPr>
            </w:pPr>
            <w:r w:rsidRPr="004670A9">
              <w:rPr>
                <w:rFonts w:ascii="Times New Roman" w:eastAsia="Times New Roman" w:hAnsi="Times New Roman"/>
                <w:color w:val="000000"/>
                <w:lang w:eastAsia="ru-RU"/>
              </w:rPr>
              <w:t>Теплоснабжение; водоснабжение, водоотведение</w:t>
            </w:r>
          </w:p>
        </w:tc>
        <w:tc>
          <w:tcPr>
            <w:tcW w:w="1701" w:type="dxa"/>
            <w:shd w:val="clear" w:color="auto" w:fill="auto"/>
          </w:tcPr>
          <w:p w:rsidR="006A785B" w:rsidRPr="004670A9" w:rsidRDefault="006A785B" w:rsidP="006A785B">
            <w:pPr>
              <w:ind w:left="-108" w:right="-111" w:firstLine="0"/>
              <w:jc w:val="center"/>
              <w:rPr>
                <w:rFonts w:ascii="Times New Roman" w:eastAsia="Times New Roman" w:hAnsi="Times New Roman"/>
                <w:color w:val="000000"/>
                <w:lang w:eastAsia="ru-RU"/>
              </w:rPr>
            </w:pPr>
            <w:proofErr w:type="spellStart"/>
            <w:r w:rsidRPr="004670A9">
              <w:rPr>
                <w:rFonts w:ascii="Times New Roman" w:eastAsia="Times New Roman" w:hAnsi="Times New Roman"/>
                <w:color w:val="000000"/>
                <w:lang w:eastAsia="ru-RU"/>
              </w:rPr>
              <w:t>г.п</w:t>
            </w:r>
            <w:proofErr w:type="spellEnd"/>
            <w:r w:rsidRPr="004670A9">
              <w:rPr>
                <w:rFonts w:ascii="Times New Roman" w:eastAsia="Times New Roman" w:hAnsi="Times New Roman"/>
                <w:color w:val="000000"/>
                <w:lang w:eastAsia="ru-RU"/>
              </w:rPr>
              <w:t xml:space="preserve">. </w:t>
            </w:r>
            <w:proofErr w:type="spellStart"/>
            <w:r w:rsidRPr="004670A9">
              <w:rPr>
                <w:rFonts w:ascii="Times New Roman" w:eastAsia="Times New Roman" w:hAnsi="Times New Roman"/>
                <w:color w:val="000000"/>
                <w:lang w:eastAsia="ru-RU"/>
              </w:rPr>
              <w:t>Балашейка</w:t>
            </w:r>
            <w:proofErr w:type="spellEnd"/>
            <w:r w:rsidRPr="004670A9">
              <w:rPr>
                <w:rFonts w:ascii="Times New Roman" w:eastAsia="Times New Roman" w:hAnsi="Times New Roman"/>
                <w:color w:val="000000"/>
                <w:lang w:eastAsia="ru-RU"/>
              </w:rPr>
              <w:t xml:space="preserve"> </w:t>
            </w:r>
            <w:proofErr w:type="spellStart"/>
            <w:r w:rsidRPr="004670A9">
              <w:rPr>
                <w:rFonts w:ascii="Times New Roman" w:eastAsia="Times New Roman" w:hAnsi="Times New Roman"/>
                <w:color w:val="000000"/>
                <w:lang w:eastAsia="ru-RU"/>
              </w:rPr>
              <w:t>м.р</w:t>
            </w:r>
            <w:proofErr w:type="spellEnd"/>
            <w:r w:rsidRPr="004670A9">
              <w:rPr>
                <w:rFonts w:ascii="Times New Roman" w:eastAsia="Times New Roman" w:hAnsi="Times New Roman"/>
                <w:color w:val="000000"/>
                <w:lang w:eastAsia="ru-RU"/>
              </w:rPr>
              <w:t>. Сызранский</w:t>
            </w:r>
          </w:p>
        </w:tc>
        <w:tc>
          <w:tcPr>
            <w:tcW w:w="1701" w:type="dxa"/>
            <w:shd w:val="clear" w:color="auto" w:fill="auto"/>
            <w:hideMark/>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&lt;30%</w:t>
            </w:r>
          </w:p>
        </w:tc>
        <w:tc>
          <w:tcPr>
            <w:tcW w:w="1560" w:type="dxa"/>
            <w:shd w:val="clear" w:color="auto" w:fill="auto"/>
            <w:hideMark/>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&lt;30%</w:t>
            </w:r>
          </w:p>
        </w:tc>
        <w:tc>
          <w:tcPr>
            <w:tcW w:w="1984" w:type="dxa"/>
            <w:shd w:val="clear" w:color="auto" w:fill="auto"/>
          </w:tcPr>
          <w:p w:rsidR="006A785B" w:rsidRPr="004670A9" w:rsidRDefault="006A785B" w:rsidP="006A785B">
            <w:pPr>
              <w:ind w:firstLine="0"/>
              <w:jc w:val="center"/>
              <w:rPr>
                <w:rFonts w:ascii="Times New Roman" w:eastAsia="Times New Roman" w:hAnsi="Times New Roman"/>
                <w:color w:val="000000"/>
                <w:lang w:eastAsia="ru-RU"/>
              </w:rPr>
            </w:pPr>
            <w:r w:rsidRPr="004670A9">
              <w:rPr>
                <w:rFonts w:ascii="Times New Roman" w:eastAsia="Times New Roman" w:hAnsi="Times New Roman"/>
                <w:color w:val="000000"/>
                <w:lang w:eastAsia="ru-RU"/>
              </w:rPr>
              <w:t>1 000 000</w:t>
            </w:r>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8"/>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06B" w:rsidRDefault="0078606B" w:rsidP="003936B6">
      <w:r>
        <w:separator/>
      </w:r>
    </w:p>
  </w:endnote>
  <w:endnote w:type="continuationSeparator" w:id="0">
    <w:p w:rsidR="0078606B" w:rsidRDefault="0078606B"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06B" w:rsidRDefault="0078606B" w:rsidP="003936B6">
      <w:r>
        <w:separator/>
      </w:r>
    </w:p>
  </w:footnote>
  <w:footnote w:type="continuationSeparator" w:id="0">
    <w:p w:rsidR="0078606B" w:rsidRDefault="0078606B"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F5740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4670A9">
          <w:rPr>
            <w:rFonts w:ascii="Times New Roman" w:hAnsi="Times New Roman"/>
            <w:noProof/>
            <w:sz w:val="24"/>
            <w:szCs w:val="24"/>
          </w:rPr>
          <w:t>3</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5A5B"/>
    <w:rsid w:val="000268C9"/>
    <w:rsid w:val="00032186"/>
    <w:rsid w:val="00032DAE"/>
    <w:rsid w:val="00035478"/>
    <w:rsid w:val="00035D90"/>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0A9"/>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8606B"/>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3329"/>
    <w:rsid w:val="009B0F64"/>
    <w:rsid w:val="009C077B"/>
    <w:rsid w:val="009C495F"/>
    <w:rsid w:val="009D5FA9"/>
    <w:rsid w:val="009F09A2"/>
    <w:rsid w:val="00A02F34"/>
    <w:rsid w:val="00A1129A"/>
    <w:rsid w:val="00A11B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F74B0"/>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42A3"/>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039005-4D25-4094-9B40-4EECBC70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A315-48B9-4DA7-9FD9-9ADF8B9E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123</Words>
  <Characters>704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Татьяна</cp:lastModifiedBy>
  <cp:revision>5</cp:revision>
  <cp:lastPrinted>2020-03-06T13:02:00Z</cp:lastPrinted>
  <dcterms:created xsi:type="dcterms:W3CDTF">2020-04-15T09:57:00Z</dcterms:created>
  <dcterms:modified xsi:type="dcterms:W3CDTF">2020-04-27T06:30:00Z</dcterms:modified>
</cp:coreProperties>
</file>