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5B" w:rsidRPr="00977D5B" w:rsidRDefault="00977D5B" w:rsidP="00977D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Глава</w:t>
      </w:r>
    </w:p>
    <w:p w:rsidR="00977D5B" w:rsidRPr="00977D5B" w:rsidRDefault="00977D5B" w:rsidP="00977D5B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сельского поселения Чекалино</w:t>
      </w:r>
    </w:p>
    <w:p w:rsidR="00977D5B" w:rsidRPr="00977D5B" w:rsidRDefault="00977D5B" w:rsidP="00977D5B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муниципального района Сызранский</w:t>
      </w:r>
    </w:p>
    <w:p w:rsidR="00977D5B" w:rsidRPr="00977D5B" w:rsidRDefault="00977D5B" w:rsidP="00977D5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Самарской области</w:t>
      </w:r>
    </w:p>
    <w:p w:rsidR="00977D5B" w:rsidRPr="00977D5B" w:rsidRDefault="00977D5B" w:rsidP="00977D5B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977D5B" w:rsidRPr="00977D5B" w:rsidRDefault="00977D5B" w:rsidP="00977D5B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sz w:val="28"/>
          <w:szCs w:val="28"/>
          <w:lang w:eastAsia="ru-RU"/>
        </w:rPr>
      </w:pPr>
      <w:r w:rsidRPr="00977D5B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 xml:space="preserve">ПОСТАНОВЛЕНИЕ </w:t>
      </w:r>
    </w:p>
    <w:p w:rsidR="00977D5B" w:rsidRPr="00977D5B" w:rsidRDefault="00977D5B" w:rsidP="0097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D5B" w:rsidRPr="00977D5B" w:rsidRDefault="00977D5B" w:rsidP="0097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36                                                                                       от 15 июня 2020 года</w:t>
      </w:r>
    </w:p>
    <w:p w:rsidR="00977D5B" w:rsidRPr="00977D5B" w:rsidRDefault="00977D5B" w:rsidP="00977D5B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493"/>
      </w:tblGrid>
      <w:tr w:rsidR="00977D5B" w:rsidRPr="00977D5B" w:rsidTr="0008379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493" w:type="dxa"/>
          </w:tcPr>
          <w:p w:rsidR="00977D5B" w:rsidRPr="00977D5B" w:rsidRDefault="00977D5B" w:rsidP="00977D5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77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 w:rsidRPr="00977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по проекту решения Собрания представителей сельского поселения Чекалино муниципального района Сызранский Самарской области </w:t>
            </w:r>
            <w:r w:rsidRPr="00977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«О внесении изменений в Правила благоустройства территории сельского поселения Чекалино муниципального района Сызранский Самарской области»</w:t>
            </w:r>
          </w:p>
        </w:tc>
      </w:tr>
    </w:tbl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D5B" w:rsidRPr="00977D5B" w:rsidRDefault="00977D5B" w:rsidP="0097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D5B" w:rsidRPr="00977D5B" w:rsidRDefault="00977D5B" w:rsidP="00977D5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сельского поселения Чекалино муниципального района Сызранский Самарской области, </w:t>
      </w:r>
      <w:bookmarkStart w:id="0" w:name="_Hlk14088770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проведения общественных или публичных слушаний по вопросам градостроительной деятельности на территории сельского поселения Чекалино муниципального района Сызранский Самарской области</w:t>
      </w:r>
      <w:proofErr w:type="gram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Собрания представителей сельского поселения Чекалино муниципального района Сызранский Самарской области 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29.07.2019 № 16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</w:t>
      </w:r>
      <w:bookmarkEnd w:id="0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Чекалино муниципального района Сызранский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 публичные слушания по прилагаемому проекту решения Собрания представителей сельского поселения Чекалино муниципального района Сызранский Самарской области</w:t>
      </w:r>
      <w:r w:rsidRPr="0097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Правила благоустройства территории сельского поселения Чекалино муниципального района Сызранский Самарской области» (далее – проект решения).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1" w:name="_Hlk5789666"/>
      <w:bookmarkStart w:id="2" w:name="_Hlk14273612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bookmarkEnd w:id="1"/>
      <w:bookmarkEnd w:id="2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16 июня 2020 года по 20 июля 2020 года. 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3" w:name="_Hlk9344972"/>
      <w:bookmarkStart w:id="4" w:name="_Hlk15472129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Чекалино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</w:t>
      </w:r>
      <w:bookmarkEnd w:id="4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3"/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учет осуществляется в соответствии с </w:t>
      </w:r>
      <w:bookmarkStart w:id="5" w:name="_Hlk9412081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977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5"/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bookmarkStart w:id="6" w:name="_Hlk40092993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</w:t>
      </w:r>
      <w:bookmarkStart w:id="7" w:name="_Hlk15473640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экспозиции проекта решения</w:t>
      </w:r>
      <w:bookmarkEnd w:id="7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8" w:name="_Hlk22557210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9" w:name="_Hlk40095261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Чекалино муниципального района Сызранский Самарской области</w:t>
      </w:r>
      <w:bookmarkEnd w:id="8"/>
      <w:bookmarkEnd w:id="9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0" w:name="_Hlk5887606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Сызранский район, село Чекалино, </w:t>
      </w:r>
      <w:bookmarkStart w:id="11" w:name="_Hlk5789735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Железникова</w:t>
      </w:r>
      <w:proofErr w:type="spell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82А</w:t>
      </w:r>
      <w:bookmarkEnd w:id="10"/>
      <w:bookmarkEnd w:id="11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D5B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bookmarkStart w:id="12" w:name="_Hlk14700604"/>
      <w:bookmarkStart w:id="13" w:name="_Hlk9418778"/>
      <w:bookmarkStart w:id="14" w:name="_Hlk14084916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собрания участников публичных слушаний по вопросу публичных слушаний </w:t>
      </w:r>
      <w:bookmarkEnd w:id="12"/>
      <w:bookmarkEnd w:id="13"/>
      <w:bookmarkEnd w:id="14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Чекалино муниципального района Сызранский Самарской области в каждом населенном пункте сельского поселения Чекалино муниципального района Сызранский Самарской области: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Чекалино </w:t>
      </w:r>
      <w:bookmarkStart w:id="15" w:name="_Hlk39503940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«01» июля  2020 года </w:t>
      </w:r>
      <w:bookmarkStart w:id="16" w:name="_Hlk16603231"/>
      <w:bookmarkStart w:id="17" w:name="_Hlk5887516"/>
      <w:r w:rsidRPr="00977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10-00 </w:t>
      </w:r>
      <w:bookmarkEnd w:id="16"/>
      <w:bookmarkEnd w:id="17"/>
      <w:r w:rsidRPr="00977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bookmarkEnd w:id="15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Сызранский район, село Чекалино, ул. </w:t>
      </w:r>
      <w:proofErr w:type="spell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Железникова</w:t>
      </w:r>
      <w:proofErr w:type="spell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82А;</w:t>
      </w:r>
    </w:p>
    <w:bookmarkEnd w:id="6"/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</w:t>
      </w:r>
      <w:proofErr w:type="spell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Бутырки</w:t>
      </w:r>
      <w:proofErr w:type="spell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«01» июля 2020 года </w:t>
      </w:r>
      <w:r w:rsidRPr="00977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15-00  </w:t>
      </w:r>
      <w:r w:rsidRPr="00977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Сызранский район, деревня </w:t>
      </w:r>
      <w:proofErr w:type="spell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Бутырки</w:t>
      </w:r>
      <w:proofErr w:type="spell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Башканова</w:t>
      </w:r>
      <w:proofErr w:type="spell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5;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Новоселки «01» июля  2020 года </w:t>
      </w:r>
      <w:r w:rsidRPr="00977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13-00  </w:t>
      </w:r>
      <w:r w:rsidRPr="00977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Самарская область, Сызранский район, деревня Новоселки, ул. Заречная, д. 1.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Администрации сельского поселения Чекалино </w:t>
      </w:r>
      <w:bookmarkStart w:id="18" w:name="_Hlk14701894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Самарской области </w:t>
      </w:r>
      <w:bookmarkEnd w:id="18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доведения до населения информации о содержании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</w:t>
      </w:r>
      <w:bookmarkStart w:id="19" w:name="_Hlk20309729"/>
      <w:bookmarkStart w:id="20" w:name="_Hlk15472517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района Сызранский Самарской области в информационно-телекоммуникационной сети «Интернет» в разделе сельского поселения Чекалино муниципального района Сызранский Самарской области по адресу: </w:t>
      </w:r>
      <w:bookmarkEnd w:id="19"/>
      <w:bookmarkEnd w:id="20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http://syzrayon.ru/ в порядке, установленном пунктом 1 части 8 статьи 5.1 Градостроительного кодекса Российской Федерации. </w:t>
      </w:r>
      <w:proofErr w:type="gramEnd"/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проводится в срок до 17 июля 2020 года включительно. </w:t>
      </w:r>
      <w:bookmarkStart w:id="21" w:name="_Hlk14090147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</w:t>
      </w:r>
      <w:bookmarkStart w:id="22" w:name="_Hlk40093244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</w:t>
      </w:r>
      <w:bookmarkEnd w:id="21"/>
      <w:bookmarkEnd w:id="22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часов до 16 часов.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_Hlk14090524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23"/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от жителей поселения и иных заинтересованных лиц по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8 часов до 16 часов, в субботу с 12 часов до 17 часов.</w:t>
      </w:r>
      <w:proofErr w:type="gram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4" w:name="_Hlk40093279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замечания и предложения подлежат приобщению к протоколу публичных слушаний.</w:t>
      </w:r>
    </w:p>
    <w:bookmarkEnd w:id="24"/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Замечания и предложения могут быть внесены</w:t>
      </w:r>
      <w:r w:rsidRPr="00977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собраний участников публичных слушаний; 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организатора публичных слушаний; 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Hlk16071278"/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25"/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 решения осуществляется </w:t>
      </w:r>
      <w:bookmarkStart w:id="26" w:name="_Hlk40093132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 23 июня 2020 года до 17 июля 2020 года включительно.</w:t>
      </w:r>
      <w:bookmarkEnd w:id="26"/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Назначить лицом, уполномоченным председательствовать на собраниях участников публичных слушаний, главу сельского поселения Чекалино, Фирсову Елену Юрьевну</w:t>
      </w:r>
      <w:r w:rsidRPr="00977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слушаний, </w:t>
      </w:r>
      <w:bookmarkStart w:id="27" w:name="_Hlk22654713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 w:rsidRPr="00977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Фомину Надежду Сергеевну</w:t>
      </w:r>
      <w:bookmarkEnd w:id="27"/>
      <w:r w:rsidRPr="00977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Опубликовать настоящее постановление, прилагаемый к нему проект решения и оповещение о начале публичных слушаний в </w:t>
      </w:r>
      <w:bookmarkStart w:id="28" w:name="_Hlk5790921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газете «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Вестник Чекалино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28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29" w:name="_Hlk14087794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разместить на официальном сайте Администрации муниципального района Сызранский Самарской области в информационно-телекоммуникационной сети «Интернет» на странице сельского поселения Чекалино муниципального района Сызранский Самарской области по адресу: http://syzrayon.ru/.</w:t>
      </w:r>
    </w:p>
    <w:bookmarkEnd w:id="29"/>
    <w:p w:rsidR="00977D5B" w:rsidRPr="00977D5B" w:rsidRDefault="00977D5B" w:rsidP="00977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Администрации сельского поселения Чекалино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Самарской области </w:t>
      </w:r>
      <w:r w:rsidRPr="00977D5B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в целях заблаговременного ознакомления жителей поселения и иных заинтересованных лиц с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977D5B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обеспечить: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официальное опубликование</w:t>
      </w:r>
      <w:r w:rsidRPr="0097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постановления, оповещения о начале публичных слушаний и проекта решения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0" w:name="_Hlk14090064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 Чекалино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0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июня 2020 года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</w:t>
      </w:r>
      <w:bookmarkStart w:id="31" w:name="_Hlk40092956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муниципального района Сызранский Самарской области в информационно-телекоммуникационной сети «Интернет» на странице сельского поселения Чекалино муниципального района Сызранский Самарской области в разделе «Градостроительство» по адресу: </w:t>
      </w:r>
      <w:hyperlink r:id="rId6" w:history="1">
        <w:r w:rsidRPr="00977D5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http://syzrayon.ru/</w:t>
        </w:r>
      </w:hyperlink>
      <w:bookmarkEnd w:id="31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2" w:name="_Hlk40093620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23 июня 2020 года</w:t>
      </w:r>
      <w:bookmarkEnd w:id="32"/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сельского поселения Чекалино муниципального района Сызранский Самарской области (в соответствии с режимом работы Администрации</w:t>
      </w:r>
      <w:r w:rsidRPr="0097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Чекалино муниципального района Сызранский Самарской области).</w:t>
      </w:r>
    </w:p>
    <w:p w:rsidR="00977D5B" w:rsidRPr="00977D5B" w:rsidRDefault="00977D5B" w:rsidP="0097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</w:t>
      </w:r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77D5B" w:rsidRPr="00977D5B" w:rsidRDefault="00977D5B" w:rsidP="00977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5B" w:rsidRPr="00977D5B" w:rsidRDefault="00977D5B" w:rsidP="00977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5B" w:rsidRPr="00977D5B" w:rsidRDefault="00977D5B" w:rsidP="0097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Чекалино</w:t>
      </w:r>
    </w:p>
    <w:p w:rsidR="00977D5B" w:rsidRPr="00977D5B" w:rsidRDefault="00977D5B" w:rsidP="0097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77D5B" w:rsidRPr="00977D5B" w:rsidRDefault="00977D5B" w:rsidP="0097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Е.Ю. Фирсова</w:t>
      </w: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Главы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Чекалино 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муниципального района Сызранский 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</w:rPr>
        <w:br/>
        <w:t>Самарской области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15 июня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bookmarkStart w:id="33" w:name="_GoBack"/>
      <w:bookmarkEnd w:id="33"/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СЕЛЬСКОГО ПОСЕЛЕНИЯ ЧЕКАЛИНО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</w:rPr>
        <w:t>«_____» _____________ 2020 г.                                                                № _____</w:t>
      </w:r>
    </w:p>
    <w:p w:rsidR="00977D5B" w:rsidRPr="00977D5B" w:rsidRDefault="00977D5B" w:rsidP="00977D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благоустройства территории сельского поселения Чекалино муниципального района Сызранский Самарской области</w:t>
      </w: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77D5B" w:rsidRPr="00977D5B" w:rsidRDefault="00977D5B" w:rsidP="00977D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Правил благоустройства территории сельского поселения Чекалино муниципального района Сызранский Самарской области, утвержденных </w:t>
      </w:r>
      <w:bookmarkStart w:id="34" w:name="_Hlk39494421"/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Собрания представителей сельского поселения Чекалино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Сызранский Самарской области от 5 июля 2019 года № </w:t>
      </w:r>
      <w:bookmarkEnd w:id="34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 в соответствие с Постановлением Главного государственного санитарного врача Российской Федерации от 5 декабря 2019 года № 20 «Об утверждении санитарно-эпидемиологических правил и норм СанПиН 2.1.7.3550-19 «Санитарно-эпидемиологические требования к</w:t>
      </w: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территорий муниципальных образований» (зарегистрировано в Минюсте Российской Федерации 25 декабря 2019 года), 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области», Законом Самарской области от 14 января 2020 года № 5-ГД «О внесении изменений в статью 3.2</w:t>
      </w: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Самарской области «О градостроительной деятельности на территории Самарской области» и статьи 1.3 и 4.2 Закона Самарской области «Об административных правонарушениях на территории Самарской области», Законом Самарской области от 3 марта 2020 года № 24-ГД «О внесении изменения в статью 3.2 Закона Самарской области «О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градостроительной деятельности на территории Самарской области»,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Чекалино муниципального района Сызранский Самарской области</w:t>
      </w:r>
      <w:proofErr w:type="gram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представителей сельского поселения Чекалино муниципального района Сызранский Самарской области</w:t>
      </w:r>
    </w:p>
    <w:p w:rsidR="00977D5B" w:rsidRPr="00977D5B" w:rsidRDefault="00977D5B" w:rsidP="00977D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сельского поселения Чекалино муниципального района Сызранский Самарской области, утвержденные решением Собрания представителей сельского поселения Чекалино муниципального района Сызранский Самарской области от 5 июля 2019 года № 14 (далее – Правила),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абзаце втором подпункта 1.3.7 пункта 1.3 слова «и 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дачных</w:t>
      </w: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исключить;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1.6 признать утратившим силу;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абзац первый подпункта 2 пункта 3.1 после слов «муниципальных образований» дополнить словами «(при условии соблюдения требований законодательства о защите персональных данных)»;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 3.2 дополнить абзацами следующего содержания: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пункте 3.6: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14 слова «, не имеющих ограждающих устройств - 5 метров по периметру, а при наличии ограждения» исключить;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15 слова «, не имеющих ограждающих устройств - 5 метров по периметру, а при наличии ограждения» исключить;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подпунктом 16 следующего содержания: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«16) для многоквартирных домов (за исключением многоквартирных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пункт 4.2 после слов «индивидуальные предприниматели» дополнить словами «,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пункте 4.13: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после слов «нестационарных объектов» дополнить словами «(за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4 дополнить предложением следующего содержания: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«Высота травы не должна превышать 15 сантиметров от поверхности земли»;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5 дополнить словами «, но не реже 1 раза в день»;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абзац двенадцатый пункта 4.14 изложить в следующей редакции: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размещать транспортные средства на газоне или иной озеленённой или рекреационной территории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пункт 4.16 изложить в следующей редакции: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4.16.  </w:t>
      </w:r>
      <w:proofErr w:type="gramStart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населенных пунктах при отсутствии централизованной системы водоотведения для отдельных зданий и (или) групп зданий допускается отведение жидких бытовых отходов (далее — 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—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4.16.1. Органы местного самоуправления поселения, граждане, индивидуальные предприниматели и юридические лица, деятельность которых связана с содержанием, обслуживанием территории поселения, а также с обращением отходов на территории поселения (далее —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4.16.2.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4.16.3.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4.16.4.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 вывоз ЖБО в места, не предназначенные для слива отходов.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4.16.5. Выгребы для накопления ЖБО устанавливаются в виде </w:t>
      </w:r>
      <w:proofErr w:type="spellStart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помойниц</w:t>
      </w:r>
      <w:proofErr w:type="spellEnd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дворовых уборных.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Помойницы</w:t>
      </w:r>
      <w:proofErr w:type="spellEnd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помойницы</w:t>
      </w:r>
      <w:proofErr w:type="spellEnd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быть съемной или открывающейся.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помойниц</w:t>
      </w:r>
      <w:proofErr w:type="spellEnd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помойниц</w:t>
      </w:r>
      <w:proofErr w:type="spellEnd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4.16.6. Не допускается наполнение выгреба выше, чем 0,35 м от поверхности земли. Выгреб следует очищать не реже 1 раза в 6 месяцев.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4.16.7.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4.16.8. Наземная часть </w:t>
      </w:r>
      <w:proofErr w:type="spellStart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помойниц</w:t>
      </w:r>
      <w:proofErr w:type="spellEnd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«Санитарно-эпидемиологические требования к организации и осуществлению дезинфекционной деятельности».»;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 главу 4 дополнить пунктами 4.18 и 4.19 следующего содержания: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«4.18. 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животноводства (включая деятельность по содержанию животных), отходы при прочих работах и услугах в сельском хозяйстве.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Правил.»;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1.11. в абзаце втором пункта 5.1 слова «, </w:t>
      </w:r>
      <w:proofErr w:type="gramStart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приведёнными</w:t>
      </w:r>
      <w:proofErr w:type="gramEnd"/>
      <w:r w:rsidRPr="009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1 к настоящим Правилам» исключить;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пункт 5.2 дополнить абзацем следующего содержания: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пункт 5.5 изложить в следующей редакции: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«5.5. Не допускается размещение снега и льда, загрязненного </w:t>
      </w:r>
      <w:proofErr w:type="spell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абзацы первый и второй пункта 5.11 изложить в следующей редакции: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</w:t>
      </w:r>
      <w:bookmarkStart w:id="35" w:name="_Hlk22804048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36" w:name="_Hlk22211020"/>
      <w:bookmarkStart w:id="37" w:name="_Hlk22211206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 сооружений, нестационарных объектов</w:t>
      </w:r>
      <w:bookmarkEnd w:id="36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7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5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сосулек.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</w:t>
      </w:r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пункт 5.12 изложить в следующей редакции: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977D5B">
        <w:rPr>
          <w:rFonts w:ascii="Calibri" w:eastAsia="Times New Roman" w:hAnsi="Calibri" w:cs="Calibri"/>
          <w:lang w:eastAsia="ru-RU"/>
        </w:rPr>
        <w:t xml:space="preserve">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связи.»;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1.16. главу 5 дополнить пунктом 5.13 следующего содержания: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пункт 6.1 дополнить абзацем следующего содержания: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день.»;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 пункт 7.1 изложить в следующей редакции: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должны быть ровными, без пятен и поврежденных мест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1.19. пункт 7.6 изложить в следующей редакции: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7.6.1. К вывескам предъявляются следующие требования: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вывески должны размещаться на участке фасада, свободном от архитектурных деталей;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выше линии второго этажа (линии перекрытий между первым и вторым этажами) зданий, сооружений;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плоских участках фасада, свободных от декоративных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7.6.7. 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вывесок, размещаемых на крышах зданий, сооружений, должна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0,8 м для 1-2-этажных объектов;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1,2 м для 3-5-этажных объектов.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7.6.10. Не допускается: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расстоянии ближе 2 м от мемориальных досок;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7.6.11. Содержание вывесок осуществляется юридическими лицами,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1.20. абзац второй пункта 7.13 после слова «обязательна» дополнить словами «для территорий дошкольных образовательных и общеобразовательных организаций, а также»;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1.21. пункт 7.15 дополнить абзацами следующего содержания: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«Во всех случаях запрещается предусматривать ограждения: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территорий, резервируемых для последующего расширения предприятий;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предприятий горнодобывающей и </w:t>
      </w:r>
      <w:proofErr w:type="spellStart"/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горнообрабатывающей</w:t>
      </w:r>
      <w:proofErr w:type="spellEnd"/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зданий распределительных устройств и подстанций;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сооружений коммунального назначения (полей фильтрации, орошения и т.п.);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складов малоценного сырья и материалов;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причалов для погрузки и выгрузки сыпучих и других малоценных материалов;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вспомогательных зданий и сооружений, располагаемых на </w:t>
      </w:r>
      <w:proofErr w:type="spellStart"/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предзаводских</w:t>
      </w:r>
      <w:proofErr w:type="spellEnd"/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площадках промышленных предприятий;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жилых зданий;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магазинов, универмагов, торговых центров и других торговых предприятий;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столовых, кафе, ресторанов и других предприятий общественного питания;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предприятий бытового обслуживания населения;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поликлиник, диспансеров и других лечебных учреждений, не имеющих стационаров;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спортивных зданий (спортивных залов, крытых плавательных бассейнов и т.п.);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зданий управления;</w:t>
      </w:r>
    </w:p>
    <w:p w:rsidR="00977D5B" w:rsidRPr="00977D5B" w:rsidRDefault="00977D5B" w:rsidP="0097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театров, клубов, Дворцов культуры, кинотеатров и других зрелищных зданий</w:t>
      </w:r>
      <w:proofErr w:type="gramStart"/>
      <w:r w:rsidRPr="00977D5B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1.22. абзац четвертый пункта 8.4 после слова «дорожных» дополнить словами «и иных искусственных»;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1.23. пункт 8.19 признать утратившим силу;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1.24. в пункте 9.4 слова «, 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приведёнными</w:t>
      </w: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1 к настоящим Правилам» исключить;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1.25. главу 10 изложить в следующей редакции: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7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10. Охрана и содержание зелёных насаждений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Процедура предоставления порубочного билета осуществляется на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1.26. главу 12 изложить в следующей редакции: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7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специализированной организации):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 систематические обследования территорий;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 фитосанитарные мероприятия по локализации и ликвидации карантинных и ядовитых растений.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удалению борщевика Сосновского должны проводиться до его </w:t>
      </w:r>
      <w:proofErr w:type="spell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бутонизации</w:t>
      </w:r>
      <w:proofErr w:type="spell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начала цветения следующими способами: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химическим</w:t>
      </w: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опрыскивание очагов произрастания гербицидами и (или) арборицидами;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механическим</w:t>
      </w: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скашивание, уборка сухих растений, выкапывание корневой системы;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агротехническим</w:t>
      </w:r>
      <w:proofErr w:type="gramEnd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обработка почвы, посев многолетних трав.»;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1.27. дополнить Правила главой 12.1 следующего содержания: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38" w:name="_Hlk22219667"/>
      <w:bookmarkStart w:id="39" w:name="_Hlk26965538"/>
      <w:r w:rsidRPr="0097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12.1. </w:t>
      </w:r>
      <w:r w:rsidRPr="0097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Площадки накопления твердых коммунальных отходов (контейнерные площадки)</w:t>
      </w:r>
    </w:p>
    <w:bookmarkEnd w:id="38"/>
    <w:bookmarkEnd w:id="39"/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12.1.1. Накопление твердых коммунальных отходов, за исключением крупногабаритных отходов, на территории поселения осуществляется путем складирования твердых коммунальных отходов в контейнеры, расположенные на контейнерных площадках (централизованный способ накопления).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12.1.2. 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12.1.3.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12.1.4.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12.1.5.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12.1.6. Контейнерные площадки должны быть огорожены с трех сторон.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12.1.7. 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  <w:proofErr w:type="gramEnd"/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12.1.8. </w:t>
      </w:r>
      <w:proofErr w:type="gramStart"/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вреда животным, растениям и окружающей среде»</w:t>
      </w:r>
      <w:proofErr w:type="gramStart"/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</w:t>
      </w:r>
      <w:proofErr w:type="gramEnd"/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1.28. приложение 1 к Правилам признать утратившим силу;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1.29. подпункт 2.4.2.4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«Высота травы не должна превышать 15 сантиметров от поверхности земли»;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1.30. подпункт 2.4.2.5 пункта 2.4 соглашения о закреплении прилегающей территории в установленных границах, предусмотренного приложением 2 к Правилам, дополнить словами «, но не реже 1 раза в день»;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1.31. приложение 6 к Правилам признать утратившим силу.</w:t>
      </w:r>
    </w:p>
    <w:p w:rsidR="00977D5B" w:rsidRPr="00977D5B" w:rsidRDefault="00977D5B" w:rsidP="00977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опубликовать </w:t>
      </w:r>
      <w:bookmarkStart w:id="40" w:name="_Hlk8222763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сельского поселения</w:t>
      </w:r>
      <w:r w:rsidRPr="00977D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Чекалино </w:t>
      </w:r>
      <w:bookmarkStart w:id="41" w:name="_Hlk19099543"/>
      <w:r w:rsidRPr="00977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2" w:name="_Hlk14086219"/>
      <w:bookmarkEnd w:id="40"/>
      <w:bookmarkEnd w:id="41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«Вестник Чекалино»</w:t>
      </w:r>
      <w:bookmarkEnd w:id="42"/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Сызранский Самарской области в информационно-телекоммуникационной сети «Интернет» в разделе сельского поселения Чекалино муниципального района Сызранский Самарской области по адресу: </w:t>
      </w:r>
      <w:r w:rsidRPr="009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http://syzrayon.ru/.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</w:t>
      </w:r>
      <w:proofErr w:type="gramStart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___________________________________________________________.</w:t>
      </w:r>
    </w:p>
    <w:p w:rsidR="00977D5B" w:rsidRPr="00977D5B" w:rsidRDefault="00977D5B" w:rsidP="0097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3" w:name="_Hlk5355789"/>
      <w:r w:rsidRPr="0097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Чекалино </w:t>
      </w:r>
    </w:p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         В.М. Щукина</w:t>
      </w:r>
    </w:p>
    <w:bookmarkEnd w:id="43"/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Чекалино </w:t>
      </w:r>
    </w:p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977D5B" w:rsidRPr="00977D5B" w:rsidRDefault="00977D5B" w:rsidP="0097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        Е.Ю. Фирсова</w:t>
      </w:r>
    </w:p>
    <w:p w:rsidR="00977D5B" w:rsidRPr="00977D5B" w:rsidRDefault="00977D5B" w:rsidP="00977D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D5B" w:rsidRPr="00977D5B" w:rsidRDefault="00977D5B" w:rsidP="00977D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D5B" w:rsidRPr="00977D5B" w:rsidRDefault="00977D5B" w:rsidP="00977D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D5B" w:rsidRPr="00977D5B" w:rsidRDefault="00977D5B" w:rsidP="0097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3B" w:rsidRDefault="00977D5B"/>
    <w:sectPr w:rsidR="00B1543B" w:rsidSect="00FF37BE">
      <w:headerReference w:type="even" r:id="rId7"/>
      <w:headerReference w:type="default" r:id="rId8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977D5B" w:rsidP="002B2B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B3C" w:rsidRDefault="00977D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977D5B" w:rsidP="002B2B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85B3C" w:rsidRDefault="00977D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B5"/>
    <w:rsid w:val="00384EB5"/>
    <w:rsid w:val="004A5FE4"/>
    <w:rsid w:val="00651540"/>
    <w:rsid w:val="009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D5B"/>
  </w:style>
  <w:style w:type="character" w:styleId="a5">
    <w:name w:val="page number"/>
    <w:rsid w:val="00977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D5B"/>
  </w:style>
  <w:style w:type="character" w:styleId="a5">
    <w:name w:val="page number"/>
    <w:rsid w:val="0097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6795</Words>
  <Characters>38732</Characters>
  <Application>Microsoft Office Word</Application>
  <DocSecurity>0</DocSecurity>
  <Lines>322</Lines>
  <Paragraphs>90</Paragraphs>
  <ScaleCrop>false</ScaleCrop>
  <Company/>
  <LinksUpToDate>false</LinksUpToDate>
  <CharactersWithSpaces>45437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2020-06-18T10:46:00Z</dcterms:created>
  <dcterms:modified xsi:type="dcterms:W3CDTF">2020-06-18T10:47:00Z</dcterms:modified>
</cp:coreProperties>
</file>