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Государственное унитарное предприятие Самарской области</w:t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1F5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ru-RU"/>
        </w:rPr>
        <w:t>Институт «ТеррНИИгражданпроект»</w:t>
      </w: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right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bookmarkStart w:id="0" w:name="_Toc311398054"/>
    </w:p>
    <w:p w:rsidR="007D71F5" w:rsidRPr="007D71F5" w:rsidRDefault="007D71F5" w:rsidP="007D71F5">
      <w:pPr>
        <w:spacing w:after="0" w:line="240" w:lineRule="auto"/>
        <w:ind w:left="708"/>
        <w:jc w:val="right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right"/>
        <w:outlineLvl w:val="0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right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right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right"/>
        <w:outlineLvl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ru-RU"/>
        </w:rPr>
      </w:pPr>
    </w:p>
    <w:bookmarkEnd w:id="0"/>
    <w:p w:rsidR="007D71F5" w:rsidRPr="007D71F5" w:rsidRDefault="007D71F5" w:rsidP="007D71F5">
      <w:pPr>
        <w:spacing w:after="0" w:line="240" w:lineRule="auto"/>
        <w:ind w:left="708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t xml:space="preserve">Изменения в генеральный план </w:t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t xml:space="preserve">сельского поселения </w:t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b/>
          <w:noProof/>
          <w:color w:val="000000"/>
          <w:sz w:val="36"/>
          <w:szCs w:val="36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t xml:space="preserve">муниципального района </w:t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b/>
          <w:noProof/>
          <w:color w:val="000000"/>
          <w:sz w:val="36"/>
          <w:szCs w:val="36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fldChar w:fldCharType="end"/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36"/>
          <w:szCs w:val="36"/>
          <w:lang w:eastAsia="ru-RU"/>
        </w:rPr>
        <w:t>Самарской области</w:t>
      </w:r>
    </w:p>
    <w:p w:rsidR="007D71F5" w:rsidRPr="007D71F5" w:rsidRDefault="007D71F5" w:rsidP="007D71F5">
      <w:pPr>
        <w:tabs>
          <w:tab w:val="left" w:pos="4440"/>
        </w:tabs>
        <w:spacing w:after="0" w:line="240" w:lineRule="auto"/>
        <w:ind w:left="708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Положение о территориальном планировании </w:t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b/>
          <w:noProof/>
          <w:color w:val="000000"/>
          <w:sz w:val="28"/>
          <w:szCs w:val="28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b/>
          <w:noProof/>
          <w:color w:val="000000"/>
          <w:sz w:val="28"/>
          <w:szCs w:val="28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  <w:t>Самарской области</w:t>
      </w: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b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7D71F5" w:rsidRPr="007D71F5" w:rsidRDefault="007D71F5" w:rsidP="007D71F5">
      <w:pPr>
        <w:tabs>
          <w:tab w:val="left" w:pos="2816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ab/>
      </w:r>
    </w:p>
    <w:p w:rsidR="007D71F5" w:rsidRPr="007D71F5" w:rsidRDefault="007D71F5" w:rsidP="007D71F5">
      <w:pPr>
        <w:tabs>
          <w:tab w:val="left" w:pos="2816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tabs>
          <w:tab w:val="left" w:pos="2816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tabs>
          <w:tab w:val="left" w:pos="2816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tabs>
          <w:tab w:val="left" w:pos="2816"/>
        </w:tabs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7D71F5" w:rsidRPr="007D71F5" w:rsidRDefault="007D71F5" w:rsidP="007D71F5">
      <w:pPr>
        <w:tabs>
          <w:tab w:val="left" w:pos="5376"/>
          <w:tab w:val="left" w:pos="5670"/>
        </w:tabs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ru-RU"/>
        </w:rPr>
      </w:pPr>
    </w:p>
    <w:p w:rsidR="007D71F5" w:rsidRPr="007D71F5" w:rsidRDefault="007D71F5" w:rsidP="007D71F5">
      <w:pPr>
        <w:spacing w:after="0" w:line="240" w:lineRule="auto"/>
        <w:ind w:left="708"/>
        <w:jc w:val="center"/>
        <w:rPr>
          <w:rFonts w:ascii="Times New Roman" w:eastAsia="MS Mincho" w:hAnsi="Times New Roman" w:cs="Times New Roman"/>
          <w:sz w:val="28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sz w:val="28"/>
          <w:szCs w:val="24"/>
          <w:lang w:eastAsia="ru-RU"/>
        </w:rPr>
        <w:t>г. Самара, 2019 г.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7D71F5" w:rsidRPr="007D71F5" w:rsidSect="007D71F5">
          <w:headerReference w:type="default" r:id="rId6"/>
          <w:footerReference w:type="even" r:id="rId7"/>
          <w:footerReference w:type="default" r:id="rId8"/>
          <w:headerReference w:type="first" r:id="rId9"/>
          <w:pgSz w:w="11900" w:h="16840"/>
          <w:pgMar w:top="1134" w:right="851" w:bottom="1134" w:left="1276" w:header="708" w:footer="708" w:gutter="0"/>
          <w:cols w:space="708"/>
          <w:titlePg/>
          <w:docGrid w:linePitch="360"/>
        </w:sect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Положение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о территориальном планировании 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сельского поселения </w:t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fldChar w:fldCharType="begin"/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instrText xml:space="preserve"> MERGEFIELD Поселение </w:instrText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fldChar w:fldCharType="separate"/>
      </w:r>
      <w:r w:rsidRPr="007D71F5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t>Новая Рачейка</w:t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fldChar w:fldCharType="end"/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муниципального района </w:t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fldChar w:fldCharType="begin"/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instrText xml:space="preserve"> MERGEFIELD Район </w:instrText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fldChar w:fldCharType="separate"/>
      </w:r>
      <w:r w:rsidRPr="007D71F5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t>Сызранский</w:t>
      </w: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fldChar w:fldCharType="end"/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D71F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Самарской области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1.1. В соответствии с градостроительным законодательством Генеральный план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(далее – Генеральный план) является документом территориального планирования муниципального образования. Генеральным планом определено, исходя из совокупности социальных, экономических, экологических и иных факторов, назначение территорий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в целях обеспечения их устойчивого развития,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1.2. 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Федеральным законом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Самарской области, Уставом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области, иными нормативными правовыми актами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1.3. При осуществлении территориального планирования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учтены интересы Российской Федерации, Самарской области,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 реализации полномочий федеральных органов государственной власти, органов государственной власти Самарской области и органов местного самоуправления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а также необходимость создания благоприятных условий для реализации на территории Самарской области приоритетных национальных проектов, федеральных и областных целевых программ, программ развития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1.4. Генеральный план разработан на основе Стратегии социально-экономического развития Самарской области, одобренной постановлением Правительства Самарской области от 12.07.2017 № 441 «О Стратегии социально-экономического развития Самарской области на период до 2030 года», планов и программ комплексного социально-экономического развития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1.5. При подготовке Генерального плана учтены: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программы, принятые в установленном порядке и реализуемые за счет средств федерального бюджета, бюджета Самарской области, бюджета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бюджета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на территории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объектов федерального значения, объектов регионального значения, объектов местного значения;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- инвестиционные программы субъектов естественных монополий, организаций коммунального комплекса;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сведения, содержащиеся в федеральной государственной информационной системе территориального планирования;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Схема территориального планирования Самарской области, утвержденная постановлением Правительства Самарской области от 13.12.2007 № 261;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Схема территориального планирования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области, утвержденная решением Собрания представителей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№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M__и_дата_реш_об_утв_СТП_района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8 от 25.03.2010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- предложения заинтересованных лиц.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1.6. Генеральный план включает: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положение о территориальном планировании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карту границ населённых пунктов, входящих в состав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(М 1:25 000);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карту функциональных зон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(М 1:25 000);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карты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</w:t>
      </w:r>
      <w:r w:rsidRPr="007D71F5">
        <w:rPr>
          <w:rFonts w:ascii="Cambria" w:eastAsia="MS Mincho" w:hAnsi="Cambria" w:cs="Times New Roman"/>
          <w:color w:val="000000"/>
          <w:sz w:val="24"/>
          <w:szCs w:val="24"/>
          <w:lang w:eastAsia="ru-RU"/>
        </w:rPr>
        <w:t xml:space="preserve">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(М 1:10000).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1.7. Положение о территориальном планировании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включает: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сведения о видах, назначении и наименованиях планируемых для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за исключением линейных объектов.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1.8. Карты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 включают: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карту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Самарской области (М 1:10 000);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- карту планируемого размещения объектов инженерной инфраструктуры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(М 1:10 000). 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1.9. На картах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отображены планируемые для размещения объекты местного значения – объекты капитального строительства, иные объекты, территории, которые необходимы для осуществления органами местного самоуправления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полномочий по вопросам местного значения сельского поселения и в пределах переданных государственных полномочий в соответствии с федеральными законами, законами Самарской области, Уставом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и оказывают существенное влияние на социально-экономическое развитие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. Планируемые для размещения линейные объекты, расположенные за границами населенных пунктов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отображены как на картах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области (М 1:10 000), так и на карте функциональных зон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(М 1:25 000).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1.10. Функциональное зонирование территории отображено на картах Генерального плана в соответствии с требованиями Приказа Минэкономразвития Российской Федерации от 09.01.2018 №10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Для определения границ функциональных зон может применяться как карта функциональных зон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(М 1:25 000), так и карты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Самарской области (М 1:10 000)</w:t>
      </w:r>
      <w:r w:rsidRPr="007D71F5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1.11. Виды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отображенные на картах планируемого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соответствуют требованиям Градостроительного кодекса Российской Федерации и части 2.1 статьи 5 Закона Самарской области от 12.07.2006 № 90-ГД «О градостроительной деятельности на территории Самарской области».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Отображение объектов на картах Генерального плана выполнено в соответствии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1.12. Реализация Генерального плана осуществляется путем выполнения мероприятий, которые предусмотрены программами, утверждаемыми Администрацией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и реализуемыми за счет средств местного бюджета, или нормативными правовыми актами Администрации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программами комплексного развития систем коммунальной инфраструктуры поселения, программами комплексного развития транспортной инфраструктуры поселения, программами комплексного развития социальной инфраструктуры поселения и (при наличии) инвестиционными программами организаций коммунального комплекса. Указанные мероприятия могут включать: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1) подготовку и утверждение документации по планировке территории в соответствии с Генеральным планом;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2) принятие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муниципальных нужд, о переводе земель или земельных участков из одной категории в другую;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3) создание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на основании документации по планировке территории.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1.13. В случае, если программы, реализуемые за счет средств бюджета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решения органов местного самоуправления 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иных главных распорядителей средств бюджета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 предусматривающие создание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инвестиционные программы субъектов естественных монополий, организаций коммунального комплекса, приняты до утверждения Генерального плана и предусматривают создание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подлежащих отображению в Генеральном плане, но не предусмотренных Генеральным планом, или в случае внесения в Генеральный план изменений в части размещения объектов местного значения такие программы и решения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подлежат приведению в соответствие с Генеральным планом в двухмесячный срок соответственно с даты их утверждения, даты внесения в них изменений.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1.14. В случае если программы, реализуемые за счет средств бюджета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решения органов местного самоуправления 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предусматривающие создание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инвестиционные программы субъектов естественных монополий, организаций коммунального комплекса принимаются после утверждения Генерального плана и предусматривают создание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подлежащих отображению в Генеральном плане, но не предусмотренных Генеральным планом, в Генеральный план в пятимесячный срок с даты утверждения таких программ и принятия таких решений вносятся соответствующие изменения.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1.15. В случае, если в Генеральный план внесены изменения, предусматривающие строительство или реконструкцию объектов коммунальной, транспортной,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1.16. Указанные в настоящем Положении характеристики планируемых для размещения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1.17. Вновь построенные, прошедшие реконструкцию или капитальный ремонт объекты должны соответствовать требованиям доступности для маломобильных групп населения (в том числе инвалидов-колясочников, инвалидов по слуху и зрению).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1.18. Характеристики зон с особыми условиями использования территории планируемых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в случае если установление таких зон требуется в связи с размещением данных объектов, определены в соответствии с законодательством Российской Федерации, действовавшим на момент подготовки Генерального плана.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Размеры санитарно-защитных зон планируемых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, являющихся источниками воздействия на среду обитания, определены в соответствии с СанПиН 2.2.1/2.1.1.1200-03 «Санитарно-защитные зоны и санитарная классификация предприятий, сооружений и иных объектов», утвержденными Постановлением Главного государственного санитарного врача РФ от 25.09.2007 № 74 (далее также – СанПиН 2.2.1/2.1.1.1200-03)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Размеры санитарно-защитных зон планируемых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, являющихся источниками воздействия на среду обитания, для которых СанПиН 2.2.1/2.1.1.1200-03 не установлены размеры санитарно-защитной зоны и рекомендуемые разрывы, а также размеры санитарно-защитных зон планируемых 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I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V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val="en-US" w:eastAsia="ru-RU"/>
        </w:rPr>
        <w:t>V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класса опасности определяются проектами ориентировочного размера санитарно-защитной зоны соответствующих объектов. 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1.19. Применение отображенных на картах материалов по обоснованию Генерального плана зон с особыми условиями использования территории осуществляется с учетом положений Земельного кодекса Российской Федерации о том, что установление, изменение,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власти, органа местного самоуправления и положений статьи 26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lastRenderedPageBreak/>
        <w:t>Федерального закона от 03.08.2018 №  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Зоны с особыми условиями использования территорий, в том числе возникающие в силу закона, ограничения использования земельных участков в таких зонах считаются установленными, измененными со дня внесения сведений о зоне с особыми условиями использования территории, соответствующих изменений в сведения о такой зоне в Единый государственный реестр недвижимости. 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Определенные в соответствии с требованиями законодательства в области обеспечения санитарно-эпидемиологического благополучия населения и отображенные на картах материалов по обоснованию Генерального плана ориентировочные, расчетные (предварительные) санитарно-защитные зоны применяются в порядке, установленном статьей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1.20. Отображение на картах Генерального плана планируемых для размещения объектов федерального значения, объектов регионального значения, объектов местного значения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4"/>
          <w:szCs w:val="24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не определяет их местоположение, а осуществляется в целях определения функциональных зон их размещения. 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1.21. Отображение на картах Генерального плана существующих и планируемых объектов, не являющихся объектами федерального значения, объектами регионального значения, объектами местного значения, осуществляется в информационных целях.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sectPr w:rsidR="007D71F5" w:rsidRPr="007D71F5" w:rsidSect="00291CC7">
          <w:pgSz w:w="11900" w:h="16840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lastRenderedPageBreak/>
        <w:t xml:space="preserve">2. Сведения о видах, назначении и наименованиях планируемых для размещения 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объектов местного значения сельского поселения </w:t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8"/>
          <w:szCs w:val="28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noProof/>
          <w:color w:val="000000"/>
          <w:sz w:val="28"/>
          <w:szCs w:val="28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Самарской области, их основные характеристики и местоположение</w:t>
      </w: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2.1. Объекты местного значения в сфере физической культуры и массового спорта</w:t>
      </w: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1276"/>
        <w:gridCol w:w="1985"/>
        <w:gridCol w:w="2126"/>
        <w:gridCol w:w="2410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</w:t>
            </w:r>
          </w:p>
        </w:tc>
      </w:tr>
      <w:tr w:rsidR="007D71F5" w:rsidRPr="007D71F5" w:rsidTr="002F0224">
        <w:trPr>
          <w:cantSplit/>
          <w:trHeight w:val="1190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участка, га</w:t>
            </w:r>
          </w:p>
        </w:tc>
        <w:tc>
          <w:tcPr>
            <w:tcW w:w="1985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2126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41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9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ул. Панина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2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  <w:tr w:rsidR="007D71F5" w:rsidRPr="007D71F5" w:rsidTr="002F0224">
        <w:trPr>
          <w:cantSplit/>
          <w:trHeight w:val="79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98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12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9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2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9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Новый Ризадей на ул. Новая Сызранка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98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2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9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Уваровка, площадка № 4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12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2.2. Объекты местного значения в сфере культуры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07"/>
        <w:gridCol w:w="2268"/>
        <w:gridCol w:w="1559"/>
        <w:gridCol w:w="1417"/>
        <w:gridCol w:w="1276"/>
        <w:gridCol w:w="1985"/>
        <w:gridCol w:w="2126"/>
        <w:gridCol w:w="2551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0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земельного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Участка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1985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Площадь объекта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0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Здание клуба</w:t>
            </w:r>
          </w:p>
        </w:tc>
        <w:tc>
          <w:tcPr>
            <w:tcW w:w="2268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 ул. Юбилейная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127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98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2126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2.3. Объекты местного значения в сфере водоснабжения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471"/>
        <w:gridCol w:w="1560"/>
        <w:gridCol w:w="1417"/>
        <w:gridCol w:w="2552"/>
        <w:gridCol w:w="2693"/>
        <w:gridCol w:w="2551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7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2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Водопроводные сети 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в существующей застройке на ул. Приовражная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при отсутствии грунтовых вод – не менее 10 м при диаметре водоводов до 1000 мм и не менее 20 м при диаметре водоводов более 1000 мм; при наличии грунтовых вод – 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не менее 50 м вне зависимости от диаметра водоводов</w:t>
            </w: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1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661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в существующей застройке на ул. Новая и на ул. Придорожная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Водопроводные сети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Новый Ризадей в существующей застройке на ул. Новая Сызранка и на ул. Центральная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Резервуар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Новый Ризадей  в восточной части на ул. Новая Сызранка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объем 23 куб.м.</w:t>
            </w: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СанПиН 2.1.4.1110-02 граница первого пояса ЗСО водопроводных сооружений принимается на расстоянии не менее 15 м от объекта</w:t>
            </w: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Резервуар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село Новый Ризадей  в западной части 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объем 23 куб.м.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Водозабор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Новый Ризадей  в северной части за границей села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артезианские скважины – 2 шт.</w:t>
            </w:r>
          </w:p>
        </w:tc>
        <w:tc>
          <w:tcPr>
            <w:tcW w:w="255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СанПиН 2.1.4.1110-02 радиус 1-ого пояса ЗСО от 30 до 50 м в зависимости от защищенности подземных вод. Размеры 2-ого и 3-его поясов ЗСО определяются на основании гидрогеологических расчетов</w:t>
            </w:r>
          </w:p>
        </w:tc>
      </w:tr>
      <w:tr w:rsidR="007D71F5" w:rsidRPr="007D71F5" w:rsidTr="002F0224">
        <w:trPr>
          <w:cantSplit/>
          <w:trHeight w:val="7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Водопроводные сети 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Уваровка, площадка № 4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552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СанПиН 2.1.4.1110-02 ширину санитарно-защитной полосы следует принимать по обе стороны от крайних линий водопровода: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при отсутствии грунтовых вод – не менее 10 м при диаметре водоводов до 1000 мм и не менее 20 м при диаметре водоводов более 1000 мм; при наличии грунтовых вод – не менее 50 м вне зависимости от диаметра водоводов</w:t>
            </w:r>
          </w:p>
        </w:tc>
      </w:tr>
    </w:tbl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7D71F5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Объекты местного значения в сфере газоснабжения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129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Сети газоснабжения 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1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Р=0,3 МПа Р =3 кПа</w:t>
            </w: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Правилами охраны газораспределительных сетей, утвержденными Постановлением 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Правительства Российской 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</w:t>
            </w:r>
          </w:p>
        </w:tc>
      </w:tr>
      <w:tr w:rsidR="007D71F5" w:rsidRPr="007D71F5" w:rsidTr="002F0224">
        <w:trPr>
          <w:cantSplit/>
          <w:trHeight w:val="127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Сети газоснабжения 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в юго-западной части на ул. Ленина и на  ул. Крестьянсккая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 =3 кПа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1132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Сети газоснабжения 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Р=0,3 МПа Р =3 кПа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139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Сети газоснабжения 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Р=0,3 МПа Р =3 кПа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904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Сети газоснабжения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Новый Ризадей на ул. Новая Сызранка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 =3 кПа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012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Газорегуляторный пункт ГРП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село Уваровка на площадке № 3 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  <w:tr w:rsidR="007D71F5" w:rsidRPr="007D71F5" w:rsidTr="002F0224">
        <w:trPr>
          <w:cantSplit/>
          <w:trHeight w:val="2162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Газорегуляторный пункт ГРП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Рачейка, на площадке № 2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шт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9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Газорегуляторный пункт ГРП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Рачейка, на площадке № 1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 шт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9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Сети газоснабжения 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Уваровка, площадка № 4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газопровод низкого давления</w:t>
            </w:r>
          </w:p>
        </w:tc>
        <w:tc>
          <w:tcPr>
            <w:tcW w:w="255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Правилами охраны газораспределительных сетей, утвержденными Постановлением Правительства Российской 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Федерации от 20.11.2000 № 878, вдоль трасс наружных газопроводов охранные зоны устанавливаются в виде территории, ограниченной условными линиями, проходящими на расстоянии 2 метров с каждой стороны газопровода; вдоль трасс подземных газопроводов из полиэтиленовых труб при использовании медного провода для обозначения трассы газопровода – в виде территории, ограниченной условными линиями, проходящими на расстоянии 3 метров от газопровода со стороны провода и 2 метров – с противоположной стороны</w:t>
            </w:r>
          </w:p>
        </w:tc>
      </w:tr>
      <w:tr w:rsidR="007D71F5" w:rsidRPr="007D71F5" w:rsidTr="002F0224">
        <w:trPr>
          <w:cantSplit/>
          <w:trHeight w:val="259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Газорегуляторный пункт ГРП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Уваровка, площадка № 4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 шт.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Производительность – 100 м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255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Правилами охраны газораспределительных сетей, утвержденными Постановлением Правительства Российской Федерации от 20.11.2000 № 878, охранная зона устанавливается в виде территории, ограниченной замкнутой линией, проведенной на расстоянии 10 метров от границ объекта</w:t>
            </w:r>
          </w:p>
        </w:tc>
      </w:tr>
    </w:tbl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7D71F5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Объекты местного значения в сфере электроснабжения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471"/>
        <w:gridCol w:w="1560"/>
        <w:gridCol w:w="1275"/>
        <w:gridCol w:w="2694"/>
        <w:gridCol w:w="2693"/>
        <w:gridCol w:w="2551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47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27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589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Воздушные линии электропередачи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1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0,180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напряжение - 10 кВА</w:t>
            </w: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 xml:space="preserve">в границах таких зон, утвержденными Постановлением Правительства Российской Федерации от 24.02.2009 № 160, размер охранной зоны – 10 м по обе стороны от крайних проводов (5 м – для линий с самонесущими или изолированными проводами, размещенных в границах населенных пунктов) </w:t>
            </w:r>
          </w:p>
        </w:tc>
      </w:tr>
      <w:tr w:rsidR="007D71F5" w:rsidRPr="007D71F5" w:rsidTr="002F0224">
        <w:trPr>
          <w:cantSplit/>
          <w:trHeight w:val="589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Вынос воздушной линии электропередачи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1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напряжение - 10 кВА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589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Воздушные линии электропередачи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напряжение - 10 кВА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487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Воздушные линии электропередачи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напряжение - 10 кВА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Вынос воздушной линии электропередачи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напряжение - 10 кВА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мощность - 1х160 кВА, коэффициент загрузки трансформаторов – 0,56</w:t>
            </w: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</w:tc>
      </w:tr>
      <w:tr w:rsidR="007D71F5" w:rsidRPr="007D71F5" w:rsidTr="002F0224">
        <w:trPr>
          <w:cantSplit/>
          <w:trHeight w:val="25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1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мощность - 1х250 кВА, коэффициент загрузки трансформаторов – 0,66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 шт; мощность - 1х160 кВА, коэффициент загрузки трансформаторов – 0,7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253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Комплектная трансформаторная подстанция</w:t>
            </w:r>
          </w:p>
        </w:tc>
        <w:tc>
          <w:tcPr>
            <w:tcW w:w="247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на площадке № 3</w:t>
            </w:r>
          </w:p>
        </w:tc>
        <w:tc>
          <w:tcPr>
            <w:tcW w:w="156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5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Х 630кВа-2шт</w:t>
            </w:r>
          </w:p>
        </w:tc>
        <w:tc>
          <w:tcPr>
            <w:tcW w:w="2551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соответствии с СанПиН 2.2.1/2.1.1.1200-03 размер санитарно-защитной зоны устанавливается в зависимости от типа (открытые, закрытые), мощности на основании расчетов физического воздействия на атмосферный воздух, а также результатов натурных измерений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1F5" w:rsidRPr="007D71F5" w:rsidRDefault="007D71F5" w:rsidP="007D71F5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</w:t>
      </w:r>
      <w:r w:rsidRPr="007D71F5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Объекты местного значения в сфере теплоснабжения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607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Модульная котельная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для реконструируемого общеобразовательного учреждения, мощностью 0,3 Гкал</w:t>
            </w:r>
          </w:p>
        </w:tc>
        <w:tc>
          <w:tcPr>
            <w:tcW w:w="2551" w:type="dxa"/>
            <w:vMerge w:val="restart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СанПиН 2.2.1/2.1.1.1200-03 размер санитарно-защитной зоны устанавливается на </w:t>
            </w: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основании расчетов рассеивания загрязнений атмосферного воздуха и физического воздействия на атмосферный воздух (шум, вибрация, ЭМП и др.), а также на основании результатов натурных исследований и измерений</w:t>
            </w:r>
          </w:p>
        </w:tc>
      </w:tr>
      <w:tr w:rsidR="007D71F5" w:rsidRPr="007D71F5" w:rsidTr="002F0224">
        <w:trPr>
          <w:cantSplit/>
          <w:trHeight w:val="475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Модульная котельная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tabs>
                <w:tab w:val="left" w:pos="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для реконструируемого дошкольного образовательного учреждения, мощностью 0,3 Гкал</w:t>
            </w:r>
          </w:p>
        </w:tc>
        <w:tc>
          <w:tcPr>
            <w:tcW w:w="2551" w:type="dxa"/>
            <w:vMerge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1F5" w:rsidRPr="007D71F5" w:rsidRDefault="007D71F5" w:rsidP="007D71F5">
      <w:pPr>
        <w:widowControl w:val="0"/>
        <w:tabs>
          <w:tab w:val="left" w:pos="1418"/>
        </w:tabs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7D7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2.7. Объекты местного значения в сфере транспортной инфраструктуры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2694"/>
        <w:gridCol w:w="2693"/>
        <w:gridCol w:w="2551"/>
      </w:tblGrid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cantSplit/>
          <w:trHeight w:val="253"/>
          <w:tblHeader/>
        </w:trPr>
        <w:tc>
          <w:tcPr>
            <w:tcW w:w="54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5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  <w:tc>
          <w:tcPr>
            <w:tcW w:w="2693" w:type="dxa"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Иные характеристики</w:t>
            </w:r>
          </w:p>
        </w:tc>
        <w:tc>
          <w:tcPr>
            <w:tcW w:w="2551" w:type="dxa"/>
            <w:vMerge/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1018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 на площадке № 3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основные дороги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986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1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основные дороги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vAlign w:val="center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920"/>
        </w:trPr>
        <w:tc>
          <w:tcPr>
            <w:tcW w:w="54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5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Новая Рачейка на площадке № 2</w:t>
            </w:r>
          </w:p>
        </w:tc>
        <w:tc>
          <w:tcPr>
            <w:tcW w:w="1559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2,1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5,1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2693" w:type="dxa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Главные улицы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основные дороги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Cambria" w:eastAsia="MS Mincho" w:hAnsi="Cambria" w:cs="Times New Roman"/>
                <w:sz w:val="20"/>
                <w:szCs w:val="20"/>
                <w:lang w:eastAsia="ru-RU"/>
              </w:rPr>
              <w:t>второстепенные дороги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1F5" w:rsidRPr="007D71F5" w:rsidTr="002F0224">
        <w:trPr>
          <w:cantSplit/>
          <w:trHeight w:val="920"/>
        </w:trPr>
        <w:tc>
          <w:tcPr>
            <w:tcW w:w="540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45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Улицы и автомобильные дороги местного значения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  на площадке № 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улицы – 1,3 км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второстепенные улицы – 3,5 км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1F5" w:rsidRPr="007D71F5" w:rsidRDefault="007D71F5" w:rsidP="007D71F5">
      <w:pPr>
        <w:spacing w:after="6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7D71F5" w:rsidRPr="007D71F5" w:rsidRDefault="007D71F5" w:rsidP="007D71F5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</w:t>
      </w:r>
      <w:r w:rsidRPr="007D71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местного значения в сфере водоотведения</w:t>
      </w:r>
      <w:r w:rsidRPr="007D71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D71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45"/>
        <w:gridCol w:w="2330"/>
        <w:gridCol w:w="1559"/>
        <w:gridCol w:w="1417"/>
        <w:gridCol w:w="5387"/>
        <w:gridCol w:w="2551"/>
      </w:tblGrid>
      <w:tr w:rsidR="007D71F5" w:rsidRPr="007D71F5" w:rsidTr="002F0224">
        <w:trPr>
          <w:trHeight w:val="253"/>
          <w:tblHeader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Назначение и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Вид работ, который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планируется в целях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размещения объекта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Срок,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Основные характеристики объекта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зон с особыми условиями использования территорий (ЗСО)</w:t>
            </w:r>
          </w:p>
        </w:tc>
      </w:tr>
      <w:tr w:rsidR="007D71F5" w:rsidRPr="007D71F5" w:rsidTr="002F0224">
        <w:trPr>
          <w:trHeight w:val="253"/>
          <w:tblHeader/>
        </w:trPr>
        <w:tc>
          <w:tcPr>
            <w:tcW w:w="540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5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Канализационно-насосная станция</w:t>
            </w:r>
          </w:p>
        </w:tc>
        <w:tc>
          <w:tcPr>
            <w:tcW w:w="2330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Уваровка, площадка № 4</w:t>
            </w:r>
          </w:p>
        </w:tc>
        <w:tc>
          <w:tcPr>
            <w:tcW w:w="1559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5387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производительность 600 куб.м./сут</w:t>
            </w:r>
          </w:p>
        </w:tc>
        <w:tc>
          <w:tcPr>
            <w:tcW w:w="2551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В соответствии с СанПиН 2.2.1/2.1.1.1200-03 </w:t>
            </w:r>
          </w:p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размер санитарно-защитной зоны 20 метров</w:t>
            </w:r>
          </w:p>
        </w:tc>
      </w:tr>
      <w:tr w:rsidR="007D71F5" w:rsidRPr="007D71F5" w:rsidTr="002F0224">
        <w:trPr>
          <w:trHeight w:val="253"/>
          <w:tblHeader/>
        </w:trPr>
        <w:tc>
          <w:tcPr>
            <w:tcW w:w="540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5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Сети канализации</w:t>
            </w:r>
          </w:p>
        </w:tc>
        <w:tc>
          <w:tcPr>
            <w:tcW w:w="2330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село Уваровка, площадка № 4</w:t>
            </w:r>
          </w:p>
        </w:tc>
        <w:tc>
          <w:tcPr>
            <w:tcW w:w="1559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417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  <w:tc>
          <w:tcPr>
            <w:tcW w:w="5387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протяженность 4,7 км</w:t>
            </w:r>
          </w:p>
        </w:tc>
        <w:tc>
          <w:tcPr>
            <w:tcW w:w="2551" w:type="dxa"/>
            <w:shd w:val="clear" w:color="auto" w:fill="auto"/>
          </w:tcPr>
          <w:p w:rsidR="007D71F5" w:rsidRPr="007D71F5" w:rsidRDefault="007D71F5" w:rsidP="007D71F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Установление зон с особыми условиями использования территорий в связи с размещением объекта не требуется</w:t>
            </w:r>
          </w:p>
        </w:tc>
      </w:tr>
    </w:tbl>
    <w:p w:rsidR="007D71F5" w:rsidRPr="007D71F5" w:rsidRDefault="007D71F5" w:rsidP="007D71F5">
      <w:pPr>
        <w:spacing w:after="6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x-none"/>
        </w:rPr>
        <w:sectPr w:rsidR="007D71F5" w:rsidRPr="007D71F5" w:rsidSect="00291CC7">
          <w:pgSz w:w="16840" w:h="11900" w:orient="landscape"/>
          <w:pgMar w:top="1701" w:right="1134" w:bottom="284" w:left="1134" w:header="708" w:footer="708" w:gutter="0"/>
          <w:cols w:space="708"/>
          <w:docGrid w:linePitch="360"/>
        </w:sect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</w:pP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5"/>
          <w:szCs w:val="25"/>
          <w:lang w:eastAsia="ru-RU"/>
        </w:rPr>
      </w:pPr>
      <w:r w:rsidRPr="007D71F5">
        <w:rPr>
          <w:rFonts w:ascii="Times New Roman" w:eastAsia="MS Mincho" w:hAnsi="Times New Roman" w:cs="Times New Roman"/>
          <w:color w:val="000000"/>
          <w:sz w:val="25"/>
          <w:szCs w:val="25"/>
          <w:lang w:eastAsia="ru-RU"/>
        </w:rPr>
        <w:t xml:space="preserve">3. </w: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 муниципального района </w: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instrText xml:space="preserve"> MERGEFIELD Район </w:instrTex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b/>
          <w:noProof/>
          <w:color w:val="000000"/>
          <w:sz w:val="25"/>
          <w:szCs w:val="25"/>
          <w:lang w:eastAsia="ru-RU"/>
        </w:rPr>
        <w:t>Сызранский</w: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t xml:space="preserve">, объектах местного значения сельского поселения </w: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fldChar w:fldCharType="begin"/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instrText xml:space="preserve"> MERGEFIELD Поселение </w:instrTex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fldChar w:fldCharType="separate"/>
      </w:r>
      <w:r w:rsidRPr="007D71F5">
        <w:rPr>
          <w:rFonts w:ascii="Times New Roman" w:eastAsia="MS Mincho" w:hAnsi="Times New Roman" w:cs="Times New Roman"/>
          <w:b/>
          <w:noProof/>
          <w:color w:val="000000"/>
          <w:sz w:val="25"/>
          <w:szCs w:val="25"/>
          <w:lang w:eastAsia="ru-RU"/>
        </w:rPr>
        <w:t>Новая Рачейка</w:t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fldChar w:fldCharType="end"/>
      </w:r>
      <w:r w:rsidRPr="007D71F5">
        <w:rPr>
          <w:rFonts w:ascii="Times New Roman" w:eastAsia="MS Mincho" w:hAnsi="Times New Roman" w:cs="Times New Roman"/>
          <w:b/>
          <w:color w:val="000000"/>
          <w:sz w:val="25"/>
          <w:szCs w:val="25"/>
          <w:lang w:eastAsia="ru-RU"/>
        </w:rPr>
        <w:t>, за исключением линейных объектов</w:t>
      </w:r>
    </w:p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5"/>
          <w:szCs w:val="25"/>
          <w:highlight w:val="yellow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72"/>
        <w:gridCol w:w="1984"/>
        <w:gridCol w:w="2066"/>
        <w:gridCol w:w="19"/>
        <w:gridCol w:w="2321"/>
        <w:gridCol w:w="76"/>
        <w:gridCol w:w="2890"/>
      </w:tblGrid>
      <w:tr w:rsidR="007D71F5" w:rsidRPr="007D71F5" w:rsidTr="002F0224">
        <w:trPr>
          <w:trHeight w:val="614"/>
        </w:trPr>
        <w:tc>
          <w:tcPr>
            <w:tcW w:w="3256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зоны </w:t>
            </w:r>
          </w:p>
        </w:tc>
        <w:tc>
          <w:tcPr>
            <w:tcW w:w="2272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Тип застройки</w:t>
            </w:r>
          </w:p>
        </w:tc>
        <w:tc>
          <w:tcPr>
            <w:tcW w:w="1984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2085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Коэффициент застройки</w:t>
            </w:r>
          </w:p>
        </w:tc>
        <w:tc>
          <w:tcPr>
            <w:tcW w:w="2397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Коэффициент плотности застройки</w:t>
            </w:r>
          </w:p>
        </w:tc>
        <w:tc>
          <w:tcPr>
            <w:tcW w:w="2890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Плотность населения, чел./га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Жилые зоны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жилые дома, объекты дошкольного и общего образования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333,6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0,2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0,4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27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</w:tcPr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местного значения муниципального района: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здание для размещения образовательного учреждения (начального общего, основного общего, среднего (полного) общего образования) в селе Новая Рачейка на площадке № 2, (210 мест);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дошкольное образовательное учреждение в селе Новая Рачейка на площадке № 2, (90 мест);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здание для размещения образовательного учреждения (начального общего, основного общего, среднего (полного) общего образования) в селе Новая Рачейка на ул. Панина, 2 (реконструкция);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дошкольная образовательная организация в селе Уваровка, на площадке № 4 (140 мест)</w:t>
            </w:r>
          </w:p>
          <w:p w:rsidR="007D71F5" w:rsidRPr="007D71F5" w:rsidRDefault="007D71F5" w:rsidP="007D71F5">
            <w:pPr>
              <w:tabs>
                <w:tab w:val="num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местного значения сельского поселения: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1F5" w:rsidRPr="007D71F5" w:rsidRDefault="007D71F5" w:rsidP="007D71F5">
            <w:pPr>
              <w:tabs>
                <w:tab w:val="left" w:pos="439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спортивная площадка площадью 0,06 га, в селе Новый Ризадей на ул. Новая Сызранка;</w:t>
            </w:r>
          </w:p>
          <w:p w:rsidR="007D71F5" w:rsidRPr="007D71F5" w:rsidRDefault="007D71F5" w:rsidP="007D71F5">
            <w:pPr>
              <w:tabs>
                <w:tab w:val="left" w:pos="439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спортивная площадка площадью 0,56 га, в селе Уваровка, на площадке № 4;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резервуар в селе Новый Ризадей в восточной части на ул. Новая Сызранка (объем 23 куб.м.);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модульная котельная в селе Новая Рачейка на площадке № 2 (для реконструируемого общеобразовательного учреждения, мощностью 0,3 Гкал);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модульная котельная в селе Новая Рачейка на площадке № 2 (для реконструируемого дошкольного образовательного учреждения, мощностью 0,03 Гкал);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газорегуляторный пункт в селе Уваровка на площадке № 3;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газорегуляторный пункт в селе Новая Рачейка на площадке № 2;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газорегуляторный пункт в селе Новая Рачейка на площадке № 1;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комплектная трансформаторная подстанция в селе Уваровка, на площадке № 3 (мощность - 1х160кВа, коэффициент загрузки трансформатора-0,56);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комплектная трансформаторная подстанция в селе Уваровка, на площадке № 4 (мощность - 1х630кВа);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газорегуляторный пункт в селе Уваровка на площадке № 4;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три комплектные трансформаторные подстанции в селе Новая Рачейка, на площадке № 2 (мощность - 1х160 кВА, коэффициент загрузки трансформаторов – 0,7);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комплектная трансформаторная подстанция в селе Новая Рачейка,  на площадке № 1 (мощность - 1х250 кВа, коэффициент загрузки трансформатора-0,66).</w:t>
            </w:r>
          </w:p>
        </w:tc>
      </w:tr>
      <w:tr w:rsidR="007D71F5" w:rsidRPr="007D71F5" w:rsidTr="002F0224">
        <w:trPr>
          <w:trHeight w:val="867"/>
        </w:trPr>
        <w:tc>
          <w:tcPr>
            <w:tcW w:w="14884" w:type="dxa"/>
            <w:gridSpan w:val="8"/>
          </w:tcPr>
          <w:p w:rsidR="007D71F5" w:rsidRPr="007D71F5" w:rsidRDefault="007D71F5" w:rsidP="007D71F5">
            <w:pPr>
              <w:spacing w:after="0" w:line="240" w:lineRule="auto"/>
              <w:ind w:firstLine="743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жилой зоны до 2033 года в селе Новая Рачейка планируется </w:t>
            </w:r>
          </w:p>
          <w:p w:rsidR="007D71F5" w:rsidRPr="007D71F5" w:rsidRDefault="007D71F5" w:rsidP="007D71F5">
            <w:pPr>
              <w:spacing w:after="0" w:line="240" w:lineRule="auto"/>
              <w:ind w:firstLine="7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площадке № 1, расположенной к северу-западу от поселка, общей площадью территории – 13,8 га (планируется размещение 59 участков под индивидуальное жилищное строительство, ориентировочная общая площадь жилищного фонда – 8,850 тыс. кв.м, расчетная численность населения – 207 человек, протяженность внутриквартальных дорог – 2, 2 км);</w:t>
            </w:r>
          </w:p>
          <w:p w:rsidR="007D71F5" w:rsidRPr="007D71F5" w:rsidRDefault="007D71F5" w:rsidP="007D71F5">
            <w:pPr>
              <w:spacing w:after="0" w:line="240" w:lineRule="auto"/>
              <w:ind w:firstLine="743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на площадке № 2, расположенной к востоку от поселка, общей площадью территории – 103,8 га (планируется размещение 306 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участков под индивидуальное жилищное строительство, ориентировочная общая площадь жилищного фонда – 32,250 тыс. кв.м, расчетная численность населения – 1075 человек, протяженность внутриквартальных дорог – 5, 1 км).</w:t>
            </w:r>
          </w:p>
          <w:p w:rsidR="007D71F5" w:rsidRPr="007D71F5" w:rsidRDefault="007D71F5" w:rsidP="007D71F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Развитие жилой зоны до 2033 года в селе Уваровка планируется</w:t>
            </w:r>
          </w:p>
          <w:p w:rsidR="007D71F5" w:rsidRPr="007D71F5" w:rsidRDefault="007D71F5" w:rsidP="007D71F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площадке № 3, расположенной юго-западнее поселка, общей площадью территории – 25,8 га (планируется размещение 104 участка под индивидуальное жилищное строительство, ориентировочная общая площадь жилищного фонда – 10,920 тыс. кв.м, протяженность внутриквартальных дорог – 3,9 км);</w:t>
            </w:r>
          </w:p>
          <w:p w:rsidR="007D71F5" w:rsidRPr="007D71F5" w:rsidRDefault="007D71F5" w:rsidP="007D71F5">
            <w:pPr>
              <w:spacing w:after="0" w:line="240" w:lineRule="auto"/>
              <w:ind w:firstLine="567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на площадке № 4, расположенной юго-западнее площадки № 3, общей площадью территории – 29 га (планируется размещение 422 участка под блокированную застройку, ориентировочная общая площадь жилищного фонда – 49,5 тыс. кв.м, протяженность внутриквартальных дорог – 4,8 км).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>Общественно-деловые зоны</w:t>
            </w:r>
          </w:p>
        </w:tc>
        <w:tc>
          <w:tcPr>
            <w:tcW w:w="2272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административные здания, объекты торговли, офисы, объекты социального и коммунально-бытового назначения (проф. образование, спорт, культура, медицина, бытовое обслуживание)</w:t>
            </w:r>
          </w:p>
        </w:tc>
        <w:tc>
          <w:tcPr>
            <w:tcW w:w="1984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5,12</w:t>
            </w:r>
          </w:p>
        </w:tc>
        <w:tc>
          <w:tcPr>
            <w:tcW w:w="2085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1,2</w:t>
            </w:r>
          </w:p>
        </w:tc>
        <w:tc>
          <w:tcPr>
            <w:tcW w:w="2397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3,7</w:t>
            </w:r>
          </w:p>
        </w:tc>
        <w:tc>
          <w:tcPr>
            <w:tcW w:w="2890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  <w:tcBorders>
              <w:bottom w:val="single" w:sz="4" w:space="0" w:color="auto"/>
            </w:tcBorders>
          </w:tcPr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регионального значения: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фельдшерско-акушерский пункт общей площадью 100 кв.м. в селе Новая Рачейка на площадке № 2;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местного значения муниципального района: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объект культуры на 150 мест в селе Новая Рачейка на площадке № 2. </w:t>
            </w:r>
          </w:p>
          <w:p w:rsidR="007D71F5" w:rsidRPr="007D71F5" w:rsidRDefault="007D71F5" w:rsidP="007D71F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местного значения сельского поселения: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здание клуба в селе Новая Рачейка на ул. Юбилейная,2а (реконструкция);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газорегуляторный пункт в селе Новая Рачейка на площадке № 2.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Производственная зона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объекты производства и складского назначения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5,54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0,9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комплектная трансформаторная подстанция в селе Уваровка, на площадке № 4 (мощность - 1х630кВа);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газорегуляторный пункт в селе Уваровка на площадке № 4.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Производственные зоны, зоны инженерной и транспортной инфраструктуры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объекты инженерной и транспортной инфраструктуры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13,74</w:t>
            </w: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0,7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7D71F5" w:rsidRPr="007D71F5" w:rsidTr="002F0224">
        <w:trPr>
          <w:trHeight w:val="443"/>
        </w:trPr>
        <w:tc>
          <w:tcPr>
            <w:tcW w:w="3256" w:type="dxa"/>
            <w:shd w:val="clear" w:color="auto" w:fill="auto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  <w:shd w:val="clear" w:color="auto" w:fill="auto"/>
          </w:tcPr>
          <w:p w:rsidR="007D71F5" w:rsidRPr="007D71F5" w:rsidRDefault="007D71F5" w:rsidP="007D71F5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местного значения сельского поселения: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канализационная насосная станция в селе Уваровка на площадке № 4.</w:t>
            </w:r>
          </w:p>
        </w:tc>
      </w:tr>
      <w:tr w:rsidR="007D71F5" w:rsidRPr="007D71F5" w:rsidTr="002F0224">
        <w:trPr>
          <w:trHeight w:val="1643"/>
        </w:trPr>
        <w:tc>
          <w:tcPr>
            <w:tcW w:w="3256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lastRenderedPageBreak/>
              <w:t xml:space="preserve">Зоны сельскохозяйственного использования </w:t>
            </w:r>
          </w:p>
        </w:tc>
        <w:tc>
          <w:tcPr>
            <w:tcW w:w="2272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сельхозугодья, объекты садоводства и дачного хозяйства, объекты сельскохозяйственного назначения</w:t>
            </w:r>
          </w:p>
        </w:tc>
        <w:tc>
          <w:tcPr>
            <w:tcW w:w="1984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182,2</w:t>
            </w:r>
          </w:p>
        </w:tc>
        <w:tc>
          <w:tcPr>
            <w:tcW w:w="2066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340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966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7D71F5" w:rsidRPr="007D71F5" w:rsidTr="002F0224">
        <w:trPr>
          <w:trHeight w:val="74"/>
        </w:trPr>
        <w:tc>
          <w:tcPr>
            <w:tcW w:w="3256" w:type="dxa"/>
          </w:tcPr>
          <w:p w:rsidR="007D71F5" w:rsidRPr="007D71F5" w:rsidRDefault="007D71F5" w:rsidP="007D71F5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</w:tcPr>
          <w:p w:rsidR="007D71F5" w:rsidRPr="007D71F5" w:rsidRDefault="007D71F5" w:rsidP="007D71F5">
            <w:pPr>
              <w:tabs>
                <w:tab w:val="num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местного значения сельского поселения: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резервуар в селе Новый Ризадей в западной части (объем 27 куб.м.);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водозабор (две артезианские скважины), производительностью 40 куб.м/сут в селе Новый Ризадей,  в северной части за границей села. 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Зоны рекреационного назначения</w:t>
            </w:r>
          </w:p>
        </w:tc>
        <w:tc>
          <w:tcPr>
            <w:tcW w:w="2272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скверы, парки, бульвары, объекты естественного природного ландшафта, объекты отдыха, занятий физкультурой и спортом</w:t>
            </w:r>
          </w:p>
        </w:tc>
        <w:tc>
          <w:tcPr>
            <w:tcW w:w="1984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96,6</w:t>
            </w:r>
          </w:p>
        </w:tc>
        <w:tc>
          <w:tcPr>
            <w:tcW w:w="2085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397" w:type="dxa"/>
            <w:gridSpan w:val="2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890" w:type="dxa"/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7D71F5" w:rsidRPr="007D71F5" w:rsidTr="002F0224">
        <w:trPr>
          <w:trHeight w:val="352"/>
        </w:trPr>
        <w:tc>
          <w:tcPr>
            <w:tcW w:w="3256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</w:tcPr>
          <w:p w:rsidR="007D71F5" w:rsidRPr="007D71F5" w:rsidRDefault="007D71F5" w:rsidP="007D71F5">
            <w:pPr>
              <w:tabs>
                <w:tab w:val="num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 местного значения сельского поселения: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1F5" w:rsidRPr="007D71F5" w:rsidRDefault="007D71F5" w:rsidP="007D71F5">
            <w:pPr>
              <w:tabs>
                <w:tab w:val="left" w:pos="439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спортивная площадка площадь 0, 1 га, в селе Новая Рачейка на ул. Панина;</w:t>
            </w:r>
          </w:p>
          <w:p w:rsidR="007D71F5" w:rsidRPr="007D71F5" w:rsidRDefault="007D71F5" w:rsidP="007D71F5">
            <w:pPr>
              <w:tabs>
                <w:tab w:val="left" w:pos="439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спортивная площадка площадь 0, 1 га, в селе Новая Рачейка на площадке № 2;</w:t>
            </w:r>
          </w:p>
          <w:p w:rsidR="007D71F5" w:rsidRPr="007D71F5" w:rsidRDefault="007D71F5" w:rsidP="007D71F5">
            <w:pPr>
              <w:tabs>
                <w:tab w:val="left" w:pos="4395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спортивная площадка площадь 0,06 га, в селе Уваровка  на площадке № 3.;</w:t>
            </w:r>
          </w:p>
          <w:p w:rsidR="007D71F5" w:rsidRPr="007D71F5" w:rsidRDefault="007D71F5" w:rsidP="007D71F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комплектная трансформаторная подстанция в селе Новая Рачейка, на площадке № 2 </w:t>
            </w:r>
          </w:p>
        </w:tc>
      </w:tr>
      <w:tr w:rsidR="007D71F5" w:rsidRPr="007D71F5" w:rsidTr="002F0224">
        <w:trPr>
          <w:trHeight w:val="134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Зоны специального назначения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  <w:t>объекты специального назначения (кладбища, полигоны ТБО, скотомогильники и иные)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1,60</w:t>
            </w: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7D71F5" w:rsidRPr="007D71F5" w:rsidTr="002F0224">
        <w:trPr>
          <w:trHeight w:val="677"/>
        </w:trPr>
        <w:tc>
          <w:tcPr>
            <w:tcW w:w="3256" w:type="dxa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8" w:type="dxa"/>
            <w:gridSpan w:val="7"/>
          </w:tcPr>
          <w:p w:rsidR="007D71F5" w:rsidRPr="007D71F5" w:rsidRDefault="007D71F5" w:rsidP="007D71F5">
            <w:pPr>
              <w:tabs>
                <w:tab w:val="num" w:pos="0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объекты регионального значения:</w:t>
            </w: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1F5" w:rsidRPr="007D71F5" w:rsidRDefault="007D71F5" w:rsidP="007D71F5">
            <w:pPr>
              <w:tabs>
                <w:tab w:val="left" w:pos="3828"/>
                <w:tab w:val="left" w:pos="5529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биотермическая камера в селе Новая Рачейка в 2015г.</w:t>
            </w:r>
          </w:p>
        </w:tc>
      </w:tr>
      <w:tr w:rsidR="007D71F5" w:rsidRPr="007D71F5" w:rsidTr="002F0224">
        <w:trPr>
          <w:trHeight w:val="134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Зона лесов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397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6E6E6"/>
          </w:tcPr>
          <w:p w:rsidR="007D71F5" w:rsidRPr="007D71F5" w:rsidRDefault="007D71F5" w:rsidP="007D71F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1F5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</w:tbl>
    <w:p w:rsidR="007D71F5" w:rsidRPr="007D71F5" w:rsidRDefault="007D71F5" w:rsidP="007D71F5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</w:p>
    <w:p w:rsidR="00423EBF" w:rsidRDefault="00423EBF">
      <w:bookmarkStart w:id="1" w:name="_GoBack"/>
      <w:bookmarkEnd w:id="1"/>
    </w:p>
    <w:sectPr w:rsidR="00423EBF" w:rsidSect="00291CC7">
      <w:headerReference w:type="even" r:id="rId10"/>
      <w:headerReference w:type="default" r:id="rId11"/>
      <w:type w:val="continuous"/>
      <w:pgSz w:w="16840" w:h="11900" w:orient="landscape"/>
      <w:pgMar w:top="850" w:right="1134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7" w:rsidRDefault="007D71F5" w:rsidP="00291CC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91CC7" w:rsidRDefault="007D71F5" w:rsidP="00291CC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7" w:rsidRPr="003F76CA" w:rsidRDefault="007D71F5" w:rsidP="00291CC7">
    <w:pPr>
      <w:pStyle w:val="ab"/>
      <w:framePr w:wrap="around" w:vAnchor="text" w:hAnchor="margin" w:xAlign="right" w:y="1"/>
      <w:rPr>
        <w:rStyle w:val="aa"/>
      </w:rPr>
    </w:pPr>
    <w:r w:rsidRPr="003F76CA">
      <w:rPr>
        <w:rStyle w:val="aa"/>
      </w:rPr>
      <w:fldChar w:fldCharType="begin"/>
    </w:r>
    <w:r w:rsidRPr="003F76CA">
      <w:rPr>
        <w:rStyle w:val="aa"/>
      </w:rPr>
      <w:instrText xml:space="preserve">PAGE  </w:instrText>
    </w:r>
    <w:r w:rsidRPr="003F76CA">
      <w:rPr>
        <w:rStyle w:val="aa"/>
      </w:rPr>
      <w:fldChar w:fldCharType="separate"/>
    </w:r>
    <w:r>
      <w:rPr>
        <w:rStyle w:val="aa"/>
        <w:noProof/>
      </w:rPr>
      <w:t>21</w:t>
    </w:r>
    <w:r w:rsidRPr="003F76CA">
      <w:rPr>
        <w:rStyle w:val="aa"/>
      </w:rPr>
      <w:fldChar w:fldCharType="end"/>
    </w:r>
  </w:p>
  <w:p w:rsidR="00291CC7" w:rsidRDefault="007D71F5" w:rsidP="00291CC7">
    <w:pPr>
      <w:pStyle w:val="a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7" w:rsidRPr="003E70C2" w:rsidRDefault="007D71F5" w:rsidP="00291CC7">
    <w:pPr>
      <w:pStyle w:val="a8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7" w:rsidRDefault="007D71F5" w:rsidP="00291CC7">
    <w:pPr>
      <w:pStyle w:val="a8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7" w:rsidRDefault="007D71F5" w:rsidP="007A342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291CC7" w:rsidRDefault="007D71F5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CC7" w:rsidRPr="00EC0F77" w:rsidRDefault="007D71F5" w:rsidP="007A342D">
    <w:pPr>
      <w:pStyle w:val="a8"/>
      <w:framePr w:wrap="around" w:vAnchor="text" w:hAnchor="margin" w:xAlign="center" w:y="1"/>
      <w:rPr>
        <w:rStyle w:val="aa"/>
        <w:rFonts w:ascii="Times New Roman" w:hAnsi="Times New Roman"/>
      </w:rPr>
    </w:pPr>
    <w:r w:rsidRPr="00EC0F77">
      <w:rPr>
        <w:rStyle w:val="aa"/>
        <w:rFonts w:ascii="Times New Roman" w:hAnsi="Times New Roman"/>
      </w:rPr>
      <w:fldChar w:fldCharType="begin"/>
    </w:r>
    <w:r w:rsidRPr="00EC0F77">
      <w:rPr>
        <w:rStyle w:val="aa"/>
        <w:rFonts w:ascii="Times New Roman" w:hAnsi="Times New Roman"/>
      </w:rPr>
      <w:instrText xml:space="preserve">PAGE  </w:instrText>
    </w:r>
    <w:r w:rsidRPr="00EC0F77">
      <w:rPr>
        <w:rStyle w:val="aa"/>
        <w:rFonts w:ascii="Times New Roman" w:hAnsi="Times New Roman"/>
      </w:rPr>
      <w:fldChar w:fldCharType="separate"/>
    </w:r>
    <w:r>
      <w:rPr>
        <w:rStyle w:val="aa"/>
        <w:rFonts w:ascii="Times New Roman" w:hAnsi="Times New Roman"/>
        <w:noProof/>
      </w:rPr>
      <w:t>21</w:t>
    </w:r>
    <w:r w:rsidRPr="00EC0F77">
      <w:rPr>
        <w:rStyle w:val="aa"/>
        <w:rFonts w:ascii="Times New Roman" w:hAnsi="Times New Roman"/>
      </w:rPr>
      <w:fldChar w:fldCharType="end"/>
    </w:r>
  </w:p>
  <w:p w:rsidR="00291CC7" w:rsidRDefault="007D71F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14C8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1AC506C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957BC"/>
    <w:multiLevelType w:val="hybridMultilevel"/>
    <w:tmpl w:val="A4BEAFF4"/>
    <w:lvl w:ilvl="0" w:tplc="6902D40E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D0656"/>
    <w:multiLevelType w:val="hybridMultilevel"/>
    <w:tmpl w:val="692A0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A6B1E"/>
    <w:multiLevelType w:val="hybridMultilevel"/>
    <w:tmpl w:val="4394FCDC"/>
    <w:lvl w:ilvl="0" w:tplc="84D6AB8A">
      <w:start w:val="2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1E92117D"/>
    <w:multiLevelType w:val="hybridMultilevel"/>
    <w:tmpl w:val="40B4AB84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F8622D"/>
    <w:multiLevelType w:val="hybridMultilevel"/>
    <w:tmpl w:val="47BA369E"/>
    <w:lvl w:ilvl="0" w:tplc="13C02FB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8F7295"/>
    <w:multiLevelType w:val="hybridMultilevel"/>
    <w:tmpl w:val="3C5AD21A"/>
    <w:lvl w:ilvl="0" w:tplc="7706B05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C7F3E"/>
    <w:multiLevelType w:val="hybridMultilevel"/>
    <w:tmpl w:val="9A009A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51D60EC"/>
    <w:multiLevelType w:val="hybridMultilevel"/>
    <w:tmpl w:val="62583E46"/>
    <w:lvl w:ilvl="0" w:tplc="92A42FAC">
      <w:start w:val="1"/>
      <w:numFmt w:val="bullet"/>
      <w:lvlText w:val="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"/>
        </w:tabs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"/>
        </w:tabs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</w:abstractNum>
  <w:abstractNum w:abstractNumId="11">
    <w:nsid w:val="36EC35BC"/>
    <w:multiLevelType w:val="hybridMultilevel"/>
    <w:tmpl w:val="783E4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C3FBE"/>
    <w:multiLevelType w:val="hybridMultilevel"/>
    <w:tmpl w:val="9EC6BF8A"/>
    <w:lvl w:ilvl="0" w:tplc="E1CAA460">
      <w:start w:val="1"/>
      <w:numFmt w:val="decimal"/>
      <w:lvlText w:val="%1."/>
      <w:lvlJc w:val="left"/>
      <w:pPr>
        <w:ind w:left="1486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11A42"/>
    <w:multiLevelType w:val="multilevel"/>
    <w:tmpl w:val="30A0B934"/>
    <w:lvl w:ilvl="0">
      <w:start w:val="1"/>
      <w:numFmt w:val="decimal"/>
      <w:pStyle w:val="1"/>
      <w:suff w:val="space"/>
      <w:lvlText w:val="%1."/>
      <w:lvlJc w:val="left"/>
      <w:pPr>
        <w:ind w:firstLine="567"/>
      </w:pPr>
      <w:rPr>
        <w:rFonts w:ascii="Times New Roman" w:eastAsia="Times New Roman" w:hAnsi="Times New Roman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4">
    <w:nsid w:val="403E572F"/>
    <w:multiLevelType w:val="hybridMultilevel"/>
    <w:tmpl w:val="88A004A2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9D1240F"/>
    <w:multiLevelType w:val="hybridMultilevel"/>
    <w:tmpl w:val="ECB808CE"/>
    <w:lvl w:ilvl="0" w:tplc="55C6ED86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6">
    <w:nsid w:val="50C31DF9"/>
    <w:multiLevelType w:val="hybridMultilevel"/>
    <w:tmpl w:val="6BB2EB00"/>
    <w:lvl w:ilvl="0" w:tplc="E39EA41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6B951CD"/>
    <w:multiLevelType w:val="hybridMultilevel"/>
    <w:tmpl w:val="764A6A60"/>
    <w:lvl w:ilvl="0" w:tplc="4F3AB72A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E51DFA"/>
    <w:multiLevelType w:val="hybridMultilevel"/>
    <w:tmpl w:val="EC7AB406"/>
    <w:lvl w:ilvl="0" w:tplc="2586D83A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73745D"/>
    <w:multiLevelType w:val="hybridMultilevel"/>
    <w:tmpl w:val="E3FCE2BA"/>
    <w:lvl w:ilvl="0" w:tplc="19647664">
      <w:start w:val="65535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2">
    <w:nsid w:val="63796ADE"/>
    <w:multiLevelType w:val="hybridMultilevel"/>
    <w:tmpl w:val="CB74A2DA"/>
    <w:lvl w:ilvl="0" w:tplc="20E0903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AC0B2A"/>
    <w:multiLevelType w:val="hybridMultilevel"/>
    <w:tmpl w:val="E90C1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84289A"/>
    <w:multiLevelType w:val="hybridMultilevel"/>
    <w:tmpl w:val="95683A54"/>
    <w:lvl w:ilvl="0" w:tplc="F97CD67A">
      <w:start w:val="2"/>
      <w:numFmt w:val="bullet"/>
      <w:lvlText w:val="-"/>
      <w:lvlJc w:val="left"/>
      <w:pPr>
        <w:ind w:left="1320" w:hanging="78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6DDB303E"/>
    <w:multiLevelType w:val="hybridMultilevel"/>
    <w:tmpl w:val="733E6A38"/>
    <w:lvl w:ilvl="0" w:tplc="92A42F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C083B"/>
    <w:multiLevelType w:val="hybridMultilevel"/>
    <w:tmpl w:val="D78A74A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713E3A68"/>
    <w:multiLevelType w:val="hybridMultilevel"/>
    <w:tmpl w:val="FEE65C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95633D3"/>
    <w:multiLevelType w:val="hybridMultilevel"/>
    <w:tmpl w:val="0296AE7E"/>
    <w:lvl w:ilvl="0" w:tplc="92A42FA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7"/>
  </w:num>
  <w:num w:numId="5">
    <w:abstractNumId w:val="13"/>
  </w:num>
  <w:num w:numId="6">
    <w:abstractNumId w:val="21"/>
  </w:num>
  <w:num w:numId="7">
    <w:abstractNumId w:val="24"/>
  </w:num>
  <w:num w:numId="8">
    <w:abstractNumId w:val="16"/>
  </w:num>
  <w:num w:numId="9">
    <w:abstractNumId w:val="22"/>
  </w:num>
  <w:num w:numId="10">
    <w:abstractNumId w:val="19"/>
  </w:num>
  <w:num w:numId="11">
    <w:abstractNumId w:val="5"/>
  </w:num>
  <w:num w:numId="12">
    <w:abstractNumId w:val="3"/>
  </w:num>
  <w:num w:numId="13">
    <w:abstractNumId w:val="7"/>
  </w:num>
  <w:num w:numId="14">
    <w:abstractNumId w:val="20"/>
  </w:num>
  <w:num w:numId="15">
    <w:abstractNumId w:val="26"/>
  </w:num>
  <w:num w:numId="16">
    <w:abstractNumId w:val="9"/>
  </w:num>
  <w:num w:numId="17">
    <w:abstractNumId w:val="18"/>
  </w:num>
  <w:num w:numId="18">
    <w:abstractNumId w:val="15"/>
  </w:num>
  <w:num w:numId="19">
    <w:abstractNumId w:val="28"/>
  </w:num>
  <w:num w:numId="20">
    <w:abstractNumId w:val="23"/>
  </w:num>
  <w:num w:numId="21">
    <w:abstractNumId w:val="8"/>
  </w:num>
  <w:num w:numId="22">
    <w:abstractNumId w:val="27"/>
  </w:num>
  <w:num w:numId="23">
    <w:abstractNumId w:val="25"/>
  </w:num>
  <w:num w:numId="24">
    <w:abstractNumId w:val="6"/>
  </w:num>
  <w:num w:numId="25">
    <w:abstractNumId w:val="10"/>
  </w:num>
  <w:num w:numId="26">
    <w:abstractNumId w:val="14"/>
  </w:num>
  <w:num w:numId="27">
    <w:abstractNumId w:val="11"/>
  </w:num>
  <w:num w:numId="28">
    <w:abstractNumId w:val="4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B4"/>
    <w:rsid w:val="00423EBF"/>
    <w:rsid w:val="007D71F5"/>
    <w:rsid w:val="00E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7D71F5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7D71F5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7D71F5"/>
    <w:pPr>
      <w:keepNext/>
      <w:numPr>
        <w:ilvl w:val="2"/>
        <w:numId w:val="5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qFormat/>
    <w:rsid w:val="007D71F5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7D71F5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7D71F5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7D71F5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7D71F5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7D71F5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7D71F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7D7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7D71F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D71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7D71F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7D71F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7D71F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7D71F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7D71F5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4"/>
    <w:semiHidden/>
    <w:unhideWhenUsed/>
    <w:rsid w:val="007D71F5"/>
  </w:style>
  <w:style w:type="paragraph" w:styleId="a5">
    <w:name w:val="footnote text"/>
    <w:basedOn w:val="a0"/>
    <w:link w:val="a6"/>
    <w:uiPriority w:val="99"/>
    <w:unhideWhenUsed/>
    <w:rsid w:val="007D71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uiPriority w:val="99"/>
    <w:rsid w:val="007D71F5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footnote reference"/>
    <w:uiPriority w:val="99"/>
    <w:unhideWhenUsed/>
    <w:rsid w:val="007D71F5"/>
    <w:rPr>
      <w:vertAlign w:val="superscript"/>
    </w:rPr>
  </w:style>
  <w:style w:type="paragraph" w:styleId="a8">
    <w:name w:val="header"/>
    <w:basedOn w:val="a0"/>
    <w:link w:val="a9"/>
    <w:unhideWhenUsed/>
    <w:rsid w:val="007D71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link w:val="a8"/>
    <w:rsid w:val="007D71F5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page number"/>
    <w:semiHidden/>
    <w:unhideWhenUsed/>
    <w:rsid w:val="007D71F5"/>
  </w:style>
  <w:style w:type="paragraph" w:styleId="ab">
    <w:name w:val="footer"/>
    <w:basedOn w:val="a0"/>
    <w:link w:val="ac"/>
    <w:unhideWhenUsed/>
    <w:rsid w:val="007D71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rsid w:val="007D71F5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0"/>
    <w:link w:val="ae"/>
    <w:semiHidden/>
    <w:unhideWhenUsed/>
    <w:rsid w:val="007D71F5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e">
    <w:name w:val="Схема документа Знак"/>
    <w:basedOn w:val="a2"/>
    <w:link w:val="ad"/>
    <w:semiHidden/>
    <w:rsid w:val="007D71F5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">
    <w:name w:val="annotation reference"/>
    <w:unhideWhenUsed/>
    <w:rsid w:val="007D71F5"/>
    <w:rPr>
      <w:sz w:val="18"/>
      <w:szCs w:val="18"/>
    </w:rPr>
  </w:style>
  <w:style w:type="paragraph" w:styleId="af0">
    <w:name w:val="annotation text"/>
    <w:basedOn w:val="a0"/>
    <w:link w:val="af1"/>
    <w:unhideWhenUsed/>
    <w:rsid w:val="007D71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2"/>
    <w:link w:val="af0"/>
    <w:rsid w:val="007D71F5"/>
    <w:rPr>
      <w:rFonts w:ascii="Cambria" w:eastAsia="MS Mincho" w:hAnsi="Cambria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7D71F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semiHidden/>
    <w:rsid w:val="007D71F5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semiHidden/>
    <w:unhideWhenUsed/>
    <w:rsid w:val="007D71F5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5">
    <w:name w:val="Текст выноски Знак"/>
    <w:basedOn w:val="a2"/>
    <w:link w:val="af4"/>
    <w:semiHidden/>
    <w:rsid w:val="007D71F5"/>
    <w:rPr>
      <w:rFonts w:ascii="Lucida Grande CY" w:eastAsia="MS Mincho" w:hAnsi="Lucida Grande CY" w:cs="Lucida Grande CY"/>
      <w:sz w:val="18"/>
      <w:szCs w:val="18"/>
      <w:lang w:eastAsia="ru-RU"/>
    </w:rPr>
  </w:style>
  <w:style w:type="character" w:styleId="af6">
    <w:name w:val="Hyperlink"/>
    <w:uiPriority w:val="99"/>
    <w:unhideWhenUsed/>
    <w:rsid w:val="007D71F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7D71F5"/>
    <w:rPr>
      <w:color w:val="800080"/>
      <w:u w:val="single"/>
    </w:rPr>
  </w:style>
  <w:style w:type="paragraph" w:styleId="af8">
    <w:name w:val="Revision"/>
    <w:hidden/>
    <w:uiPriority w:val="71"/>
    <w:rsid w:val="007D71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Неразрешенное упоминание"/>
    <w:uiPriority w:val="99"/>
    <w:semiHidden/>
    <w:unhideWhenUsed/>
    <w:rsid w:val="007D71F5"/>
    <w:rPr>
      <w:color w:val="605E5C"/>
      <w:shd w:val="clear" w:color="auto" w:fill="E1DFDD"/>
    </w:rPr>
  </w:style>
  <w:style w:type="paragraph" w:customStyle="1" w:styleId="a1">
    <w:name w:val="Абзац"/>
    <w:basedOn w:val="a0"/>
    <w:link w:val="afa"/>
    <w:rsid w:val="007D71F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Знак"/>
    <w:link w:val="a1"/>
    <w:locked/>
    <w:rsid w:val="007D7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"/>
    <w:basedOn w:val="a0"/>
    <w:link w:val="afb"/>
    <w:rsid w:val="007D71F5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Список Знак"/>
    <w:link w:val="a"/>
    <w:locked/>
    <w:rsid w:val="007D7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Ячейка таблицы"/>
    <w:basedOn w:val="21"/>
    <w:link w:val="afd"/>
    <w:qFormat/>
    <w:rsid w:val="007D71F5"/>
  </w:style>
  <w:style w:type="character" w:customStyle="1" w:styleId="afd">
    <w:name w:val="Ячейка таблицы Знак"/>
    <w:link w:val="afc"/>
    <w:rsid w:val="007D71F5"/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character" w:customStyle="1" w:styleId="afe">
    <w:name w:val="Стиль пункта схемы Знак"/>
    <w:link w:val="aff"/>
    <w:locked/>
    <w:rsid w:val="007D71F5"/>
    <w:rPr>
      <w:sz w:val="28"/>
      <w:szCs w:val="28"/>
    </w:rPr>
  </w:style>
  <w:style w:type="paragraph" w:customStyle="1" w:styleId="aff">
    <w:name w:val="Стиль пункта схемы"/>
    <w:basedOn w:val="a0"/>
    <w:link w:val="afe"/>
    <w:rsid w:val="007D71F5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7D7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Сетка таблицы светлая"/>
    <w:qFormat/>
    <w:rsid w:val="007D71F5"/>
    <w:rPr>
      <w:b/>
      <w:sz w:val="24"/>
      <w:u w:val="single"/>
    </w:rPr>
  </w:style>
  <w:style w:type="table" w:styleId="21">
    <w:name w:val="Medium Grid 2"/>
    <w:basedOn w:val="a3"/>
    <w:uiPriority w:val="68"/>
    <w:rsid w:val="007D71F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"/>
    <w:basedOn w:val="a0"/>
    <w:next w:val="a1"/>
    <w:link w:val="10"/>
    <w:qFormat/>
    <w:rsid w:val="007D71F5"/>
    <w:pPr>
      <w:keepNext/>
      <w:pageBreakBefore/>
      <w:numPr>
        <w:numId w:val="5"/>
      </w:numPr>
      <w:tabs>
        <w:tab w:val="left" w:pos="851"/>
      </w:tabs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"/>
    <w:basedOn w:val="a0"/>
    <w:next w:val="a1"/>
    <w:link w:val="20"/>
    <w:qFormat/>
    <w:rsid w:val="007D71F5"/>
    <w:pPr>
      <w:keepNext/>
      <w:numPr>
        <w:ilvl w:val="1"/>
        <w:numId w:val="5"/>
      </w:numPr>
      <w:tabs>
        <w:tab w:val="left" w:pos="1134"/>
        <w:tab w:val="left" w:pos="1276"/>
      </w:tabs>
      <w:spacing w:before="180" w:after="6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aliases w:val="Знак3 Знак,Знак3,Знак3 Знак Знак Знак"/>
    <w:basedOn w:val="a0"/>
    <w:next w:val="a1"/>
    <w:link w:val="30"/>
    <w:qFormat/>
    <w:rsid w:val="007D71F5"/>
    <w:pPr>
      <w:keepNext/>
      <w:numPr>
        <w:ilvl w:val="2"/>
        <w:numId w:val="5"/>
      </w:numPr>
      <w:tabs>
        <w:tab w:val="left" w:pos="1276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1"/>
    <w:link w:val="40"/>
    <w:qFormat/>
    <w:rsid w:val="007D71F5"/>
    <w:pPr>
      <w:keepNext/>
      <w:numPr>
        <w:ilvl w:val="3"/>
        <w:numId w:val="5"/>
      </w:numPr>
      <w:tabs>
        <w:tab w:val="left" w:pos="1418"/>
      </w:tabs>
      <w:spacing w:before="12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0"/>
    <w:next w:val="a0"/>
    <w:link w:val="50"/>
    <w:qFormat/>
    <w:rsid w:val="007D71F5"/>
    <w:pPr>
      <w:numPr>
        <w:ilvl w:val="4"/>
        <w:numId w:val="5"/>
      </w:numPr>
      <w:tabs>
        <w:tab w:val="left" w:pos="1701"/>
      </w:tabs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7D71F5"/>
    <w:pPr>
      <w:numPr>
        <w:ilvl w:val="5"/>
        <w:numId w:val="5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7D71F5"/>
    <w:pPr>
      <w:numPr>
        <w:ilvl w:val="6"/>
        <w:numId w:val="5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7D71F5"/>
    <w:pPr>
      <w:numPr>
        <w:ilvl w:val="7"/>
        <w:numId w:val="5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7D71F5"/>
    <w:pPr>
      <w:numPr>
        <w:ilvl w:val="8"/>
        <w:numId w:val="5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2"/>
    <w:link w:val="1"/>
    <w:rsid w:val="007D71F5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2"/>
    <w:link w:val="2"/>
    <w:rsid w:val="007D71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2"/>
    <w:link w:val="3"/>
    <w:rsid w:val="007D71F5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D71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2"/>
    <w:link w:val="5"/>
    <w:rsid w:val="007D71F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7D71F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aliases w:val="Заголовок x.x Знак"/>
    <w:basedOn w:val="a2"/>
    <w:link w:val="7"/>
    <w:rsid w:val="007D71F5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7D71F5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7D71F5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4"/>
    <w:semiHidden/>
    <w:unhideWhenUsed/>
    <w:rsid w:val="007D71F5"/>
  </w:style>
  <w:style w:type="paragraph" w:styleId="a5">
    <w:name w:val="footnote text"/>
    <w:basedOn w:val="a0"/>
    <w:link w:val="a6"/>
    <w:uiPriority w:val="99"/>
    <w:unhideWhenUsed/>
    <w:rsid w:val="007D71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uiPriority w:val="99"/>
    <w:rsid w:val="007D71F5"/>
    <w:rPr>
      <w:rFonts w:ascii="Cambria" w:eastAsia="MS Mincho" w:hAnsi="Cambria" w:cs="Times New Roman"/>
      <w:sz w:val="24"/>
      <w:szCs w:val="24"/>
      <w:lang w:eastAsia="ru-RU"/>
    </w:rPr>
  </w:style>
  <w:style w:type="character" w:styleId="a7">
    <w:name w:val="footnote reference"/>
    <w:uiPriority w:val="99"/>
    <w:unhideWhenUsed/>
    <w:rsid w:val="007D71F5"/>
    <w:rPr>
      <w:vertAlign w:val="superscript"/>
    </w:rPr>
  </w:style>
  <w:style w:type="paragraph" w:styleId="a8">
    <w:name w:val="header"/>
    <w:basedOn w:val="a0"/>
    <w:link w:val="a9"/>
    <w:unhideWhenUsed/>
    <w:rsid w:val="007D71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2"/>
    <w:link w:val="a8"/>
    <w:rsid w:val="007D71F5"/>
    <w:rPr>
      <w:rFonts w:ascii="Cambria" w:eastAsia="MS Mincho" w:hAnsi="Cambria" w:cs="Times New Roman"/>
      <w:sz w:val="24"/>
      <w:szCs w:val="24"/>
      <w:lang w:eastAsia="ru-RU"/>
    </w:rPr>
  </w:style>
  <w:style w:type="character" w:styleId="aa">
    <w:name w:val="page number"/>
    <w:semiHidden/>
    <w:unhideWhenUsed/>
    <w:rsid w:val="007D71F5"/>
  </w:style>
  <w:style w:type="paragraph" w:styleId="ab">
    <w:name w:val="footer"/>
    <w:basedOn w:val="a0"/>
    <w:link w:val="ac"/>
    <w:unhideWhenUsed/>
    <w:rsid w:val="007D71F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2"/>
    <w:link w:val="ab"/>
    <w:rsid w:val="007D71F5"/>
    <w:rPr>
      <w:rFonts w:ascii="Cambria" w:eastAsia="MS Mincho" w:hAnsi="Cambria" w:cs="Times New Roman"/>
      <w:sz w:val="24"/>
      <w:szCs w:val="24"/>
      <w:lang w:eastAsia="ru-RU"/>
    </w:rPr>
  </w:style>
  <w:style w:type="paragraph" w:styleId="ad">
    <w:name w:val="Document Map"/>
    <w:basedOn w:val="a0"/>
    <w:link w:val="ae"/>
    <w:semiHidden/>
    <w:unhideWhenUsed/>
    <w:rsid w:val="007D71F5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e">
    <w:name w:val="Схема документа Знак"/>
    <w:basedOn w:val="a2"/>
    <w:link w:val="ad"/>
    <w:semiHidden/>
    <w:rsid w:val="007D71F5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styleId="af">
    <w:name w:val="annotation reference"/>
    <w:unhideWhenUsed/>
    <w:rsid w:val="007D71F5"/>
    <w:rPr>
      <w:sz w:val="18"/>
      <w:szCs w:val="18"/>
    </w:rPr>
  </w:style>
  <w:style w:type="paragraph" w:styleId="af0">
    <w:name w:val="annotation text"/>
    <w:basedOn w:val="a0"/>
    <w:link w:val="af1"/>
    <w:unhideWhenUsed/>
    <w:rsid w:val="007D71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1">
    <w:name w:val="Текст примечания Знак"/>
    <w:basedOn w:val="a2"/>
    <w:link w:val="af0"/>
    <w:rsid w:val="007D71F5"/>
    <w:rPr>
      <w:rFonts w:ascii="Cambria" w:eastAsia="MS Mincho" w:hAnsi="Cambria" w:cs="Times New Roman"/>
      <w:sz w:val="24"/>
      <w:szCs w:val="24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rsid w:val="007D71F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semiHidden/>
    <w:rsid w:val="007D71F5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semiHidden/>
    <w:unhideWhenUsed/>
    <w:rsid w:val="007D71F5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f5">
    <w:name w:val="Текст выноски Знак"/>
    <w:basedOn w:val="a2"/>
    <w:link w:val="af4"/>
    <w:semiHidden/>
    <w:rsid w:val="007D71F5"/>
    <w:rPr>
      <w:rFonts w:ascii="Lucida Grande CY" w:eastAsia="MS Mincho" w:hAnsi="Lucida Grande CY" w:cs="Lucida Grande CY"/>
      <w:sz w:val="18"/>
      <w:szCs w:val="18"/>
      <w:lang w:eastAsia="ru-RU"/>
    </w:rPr>
  </w:style>
  <w:style w:type="character" w:styleId="af6">
    <w:name w:val="Hyperlink"/>
    <w:uiPriority w:val="99"/>
    <w:unhideWhenUsed/>
    <w:rsid w:val="007D71F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7D71F5"/>
    <w:rPr>
      <w:color w:val="800080"/>
      <w:u w:val="single"/>
    </w:rPr>
  </w:style>
  <w:style w:type="paragraph" w:styleId="af8">
    <w:name w:val="Revision"/>
    <w:hidden/>
    <w:uiPriority w:val="71"/>
    <w:rsid w:val="007D71F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9">
    <w:name w:val="Неразрешенное упоминание"/>
    <w:uiPriority w:val="99"/>
    <w:semiHidden/>
    <w:unhideWhenUsed/>
    <w:rsid w:val="007D71F5"/>
    <w:rPr>
      <w:color w:val="605E5C"/>
      <w:shd w:val="clear" w:color="auto" w:fill="E1DFDD"/>
    </w:rPr>
  </w:style>
  <w:style w:type="paragraph" w:customStyle="1" w:styleId="a1">
    <w:name w:val="Абзац"/>
    <w:basedOn w:val="a0"/>
    <w:link w:val="afa"/>
    <w:rsid w:val="007D71F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Абзац Знак"/>
    <w:link w:val="a1"/>
    <w:locked/>
    <w:rsid w:val="007D7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D7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"/>
    <w:basedOn w:val="a0"/>
    <w:link w:val="afb"/>
    <w:rsid w:val="007D71F5"/>
    <w:pPr>
      <w:numPr>
        <w:numId w:val="6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b">
    <w:name w:val="Список Знак"/>
    <w:link w:val="a"/>
    <w:locked/>
    <w:rsid w:val="007D71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c">
    <w:name w:val="Ячейка таблицы"/>
    <w:basedOn w:val="21"/>
    <w:link w:val="afd"/>
    <w:qFormat/>
    <w:rsid w:val="007D71F5"/>
  </w:style>
  <w:style w:type="character" w:customStyle="1" w:styleId="afd">
    <w:name w:val="Ячейка таблицы Знак"/>
    <w:link w:val="afc"/>
    <w:rsid w:val="007D71F5"/>
    <w:rPr>
      <w:rFonts w:ascii="Cambria" w:eastAsia="Times New Roman" w:hAnsi="Cambria" w:cs="Times New Roman"/>
      <w:color w:val="000000"/>
      <w:sz w:val="20"/>
      <w:szCs w:val="20"/>
      <w:lang w:eastAsia="ru-RU"/>
    </w:rPr>
  </w:style>
  <w:style w:type="character" w:customStyle="1" w:styleId="afe">
    <w:name w:val="Стиль пункта схемы Знак"/>
    <w:link w:val="aff"/>
    <w:locked/>
    <w:rsid w:val="007D71F5"/>
    <w:rPr>
      <w:sz w:val="28"/>
      <w:szCs w:val="28"/>
    </w:rPr>
  </w:style>
  <w:style w:type="paragraph" w:customStyle="1" w:styleId="aff">
    <w:name w:val="Стиль пункта схемы"/>
    <w:basedOn w:val="a0"/>
    <w:link w:val="afe"/>
    <w:rsid w:val="007D71F5"/>
    <w:pPr>
      <w:autoSpaceDE w:val="0"/>
      <w:autoSpaceDN w:val="0"/>
      <w:adjustRightInd w:val="0"/>
      <w:spacing w:after="0" w:line="360" w:lineRule="auto"/>
      <w:ind w:firstLine="680"/>
      <w:jc w:val="both"/>
    </w:pPr>
    <w:rPr>
      <w:sz w:val="28"/>
      <w:szCs w:val="28"/>
    </w:rPr>
  </w:style>
  <w:style w:type="paragraph" w:customStyle="1" w:styleId="ConsPlusNormal">
    <w:name w:val="ConsPlusNormal"/>
    <w:rsid w:val="007D71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Сетка таблицы светлая"/>
    <w:qFormat/>
    <w:rsid w:val="007D71F5"/>
    <w:rPr>
      <w:b/>
      <w:sz w:val="24"/>
      <w:u w:val="single"/>
    </w:rPr>
  </w:style>
  <w:style w:type="table" w:styleId="21">
    <w:name w:val="Medium Grid 2"/>
    <w:basedOn w:val="a3"/>
    <w:uiPriority w:val="68"/>
    <w:rsid w:val="007D71F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5525</Words>
  <Characters>31493</Characters>
  <Application>Microsoft Office Word</Application>
  <DocSecurity>0</DocSecurity>
  <Lines>262</Lines>
  <Paragraphs>73</Paragraphs>
  <ScaleCrop>false</ScaleCrop>
  <Company/>
  <LinksUpToDate>false</LinksUpToDate>
  <CharactersWithSpaces>36945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2019-11-07T04:41:00Z</dcterms:created>
  <dcterms:modified xsi:type="dcterms:W3CDTF">2019-11-07T04:41:00Z</dcterms:modified>
</cp:coreProperties>
</file>