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8E0A3C" w:rsidRPr="008E0A3C" w:rsidRDefault="008E0A3C" w:rsidP="008E0A3C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E0A3C">
        <w:rPr>
          <w:rFonts w:ascii="Times New Roman" w:eastAsia="Times New Roman" w:hAnsi="Times New Roman" w:cs="Times New Roman"/>
          <w:b/>
          <w:lang w:eastAsia="en-US"/>
        </w:rPr>
        <w:t>РОССИЙСКАЯ ФЕДЕРАЦИЯ</w:t>
      </w: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E0A3C">
        <w:rPr>
          <w:rFonts w:ascii="Times New Roman" w:eastAsia="Times New Roman" w:hAnsi="Times New Roman" w:cs="Times New Roman"/>
          <w:b/>
          <w:lang w:eastAsia="en-US"/>
        </w:rPr>
        <w:t>САМАРСКАЯ ОБЛАСТЬ</w:t>
      </w: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E0A3C">
        <w:rPr>
          <w:rFonts w:ascii="Times New Roman" w:eastAsia="Times New Roman" w:hAnsi="Times New Roman" w:cs="Times New Roman"/>
          <w:b/>
          <w:lang w:eastAsia="en-US"/>
        </w:rPr>
        <w:t>МУНИЦИПАЛЬНЫЙ РАЙОН СЫЗРАНСКИЙ</w:t>
      </w:r>
    </w:p>
    <w:p w:rsidR="008E0A3C" w:rsidRPr="008E0A3C" w:rsidRDefault="008E0A3C" w:rsidP="008E0A3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</w:pPr>
      <w:r w:rsidRPr="008E0A3C"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8E0A3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сельского поселения Новая Рачейка</w:t>
      </w:r>
    </w:p>
    <w:p w:rsidR="008E0A3C" w:rsidRPr="008E0A3C" w:rsidRDefault="008E0A3C" w:rsidP="008E0A3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en-US"/>
        </w:rPr>
      </w:pP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8E0A3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963622">
        <w:rPr>
          <w:rFonts w:ascii="Times New Roman" w:eastAsia="Times New Roman" w:hAnsi="Times New Roman" w:cs="Times New Roman"/>
          <w:b/>
          <w:sz w:val="28"/>
        </w:rPr>
        <w:t>Новая Рачейка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 xml:space="preserve">руководствуясь Уставом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963622">
        <w:rPr>
          <w:rFonts w:ascii="Times New Roman" w:eastAsia="Times New Roman" w:hAnsi="Times New Roman" w:cs="Times New Roman"/>
          <w:sz w:val="28"/>
        </w:rPr>
        <w:t>Новой Рачейки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963622">
        <w:rPr>
          <w:rFonts w:ascii="Times New Roman" w:eastAsia="Times New Roman" w:hAnsi="Times New Roman" w:cs="Times New Roman"/>
          <w:sz w:val="28"/>
        </w:rPr>
        <w:t>О.В. Шагова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963622">
        <w:rPr>
          <w:rFonts w:ascii="Times New Roman" w:eastAsia="Times New Roman" w:hAnsi="Times New Roman" w:cs="Times New Roman"/>
          <w:spacing w:val="-10"/>
          <w:sz w:val="28"/>
        </w:rPr>
        <w:t>Новая Рачейка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Pr="00963622" w:rsidRDefault="00107D85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муниципальной услуги 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 xml:space="preserve">«Получение технических условий присоединения к сетям инженерно-технического обеспечения» 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муниципальной услуги по выдаче 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>технических условий присоединения к сетям инженерно-технического обеспечения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муниципальная услуга) и определяет сроки и последовательность действий (административных</w:t>
      </w:r>
      <w:proofErr w:type="gramEnd"/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процедур) при предоставлении муниципальной услуги.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 xml:space="preserve">обратившиеся в администрацию с заявлением о предоставлении технических условий присоединения объектов капитального строительства к сетям инженерно-технического обеспечения на территории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заявители).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администрация сельского поселения), муниципальное бюджетное учреждение «Многофункциональный центр предоставления государственных и муниципальных услуг» муниципального района Сызранский Самарской области (далее – МФЦ).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  Место нахождения администрации сельского поселения: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, Самарск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ая область, Сызранский район, с.Новая Рачейка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Панина,6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C71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Самарская область, Сызранский район, </w:t>
      </w:r>
      <w:proofErr w:type="gramStart"/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Рачейка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Панина,6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 сельского поселения: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adm_novaya-racheika@mail.ru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Справочный телефон администрации сельского поселения:</w:t>
      </w:r>
      <w:r w:rsidR="008E3C71" w:rsidRPr="00963622">
        <w:rPr>
          <w:sz w:val="24"/>
          <w:szCs w:val="24"/>
        </w:rPr>
        <w:t xml:space="preserve"> </w:t>
      </w:r>
      <w:r w:rsidR="008E3C71" w:rsidRPr="00963622">
        <w:rPr>
          <w:rFonts w:ascii="Times New Roman" w:hAnsi="Times New Roman" w:cs="Times New Roman"/>
          <w:sz w:val="24"/>
          <w:szCs w:val="24"/>
        </w:rPr>
        <w:t>(8464)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93-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963622" w:rsidRDefault="008E3C71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График приема граждан:  ежедневно с 8.30-9.30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порядке предоставления муниципальной услуги размещается на официальном сайте  муниципального района Сызранский Самарской области в информационно-телекоммуникационной сети Интернет </w:t>
      </w:r>
      <w:hyperlink r:id="rId8" w:history="1"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</w:t>
        </w:r>
        <w:proofErr w:type="spellStart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syzrayon</w:t>
        </w:r>
        <w:proofErr w:type="spellEnd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1.3.2. Местонахождение МФЦ: 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446073, Самарская область, Сызранский район, пос. Варламово,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ул. Кооперативная, 16 «А».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МФЦ (местное время):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среда: с 08:00 до 18:00; 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четверг 08:00 до 20:00; пятница: с 08:00 до 16:00; 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суббота, воскресенье – выходной;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Справочный телефон МФЦ: (88464)35-87-70.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МФЦ: mfc020712@yandex.ru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помещении приема заявлений;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 указанным в пунктах 1.3.1, 1.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.2 номерам телефонов.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1.3.5. Индивидуальное личное консультирование.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 Индивидуальное личное консультирование одного лица должностным лицом Управления не может превышать 20 минут.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1.3.6. Индивидуальное консультирование по почте (по электронной почте).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1.3.7. Индивидуальное консультирование по телефону.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1.3.8. Публичное письменное информирование.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1.3.9. Публичное устное информирование.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режим приема должностными лицами администрации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 xml:space="preserve">.14. В залах обслуживания МФЦ устанавливаются </w:t>
      </w:r>
      <w:proofErr w:type="gramStart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интернет-киоски</w:t>
      </w:r>
      <w:proofErr w:type="gramEnd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интернет-киоска</w:t>
      </w:r>
      <w:proofErr w:type="gramEnd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 II. Стандарт предоставления муниципальной услуги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00" w:rsidRPr="00963622" w:rsidRDefault="000261E6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2.1.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 Наименование муниципальной услуги: «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Получение технических условий присоединения к сетям инженерно-технического обеспечения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и выдачи результатов предоставления муниципальной услуги.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рган регистрации прав).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Результатом предоставления муниципальной услуги являются:</w:t>
      </w:r>
    </w:p>
    <w:p w:rsidR="00F5612D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612D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подключения объекта к сетям инженерно-технического обеспечения;</w:t>
      </w:r>
    </w:p>
    <w:p w:rsidR="000261E6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1E6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отказ в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 технических условий подключения объекта к сетям инженерно-технического обеспечения.</w:t>
      </w:r>
    </w:p>
    <w:p w:rsidR="006271E9" w:rsidRPr="00963622" w:rsidRDefault="006271E9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срок, не превышающий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6846" w:rsidRPr="009636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46234" w:rsidRPr="0096362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о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выдаче технических условий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подключения объекта к сетям инженерно-технического обеспечения.                              </w:t>
      </w:r>
    </w:p>
    <w:p w:rsidR="006271E9" w:rsidRPr="00963622" w:rsidRDefault="006271E9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2.5. Правовые основания для предо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услуги: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Земельный кодекс  Российской Федерации;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Федеральный закон от 25 октября 2001 г. № 137-ФЗ «О введении в действие Земельного кодекса Российской Федерации»;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Федеральный закон о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т 6 октября 2003 г. № 131-ФЗ «Об общих принципах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12D" w:rsidRPr="00963622" w:rsidRDefault="00346C3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февраля</w:t>
      </w:r>
    </w:p>
    <w:p w:rsidR="00F5612D" w:rsidRPr="00963622" w:rsidRDefault="00B84D1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 № 83 «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Об утверждении Правил определен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ия и предоставления технических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условий подключения объекта капитального строительства к сетям инженерно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технического обеспечения и Правил подключения объекта капитального строительства к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сетям инж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>енерно-технического обеспечения»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12D" w:rsidRPr="00963622" w:rsidRDefault="00B84D1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области;</w:t>
      </w:r>
    </w:p>
    <w:p w:rsidR="00B84D1A" w:rsidRPr="00963622" w:rsidRDefault="00B84D1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области:</w:t>
      </w:r>
    </w:p>
    <w:p w:rsidR="00B84D1A" w:rsidRPr="00963622" w:rsidRDefault="00B84D1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6271E9" w:rsidRPr="00963622" w:rsidRDefault="006271E9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 в </w:t>
      </w:r>
      <w:r w:rsidR="00A94534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администрацию следующие документы:</w:t>
      </w:r>
    </w:p>
    <w:p w:rsidR="00A94534" w:rsidRPr="00963622" w:rsidRDefault="00A945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1) заявление по форме согласно приложению 1 к настоящему Административному регламенту;</w:t>
      </w:r>
    </w:p>
    <w:p w:rsidR="00A945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="00A94534" w:rsidRPr="0096362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физических лиц);</w:t>
      </w:r>
    </w:p>
    <w:p w:rsidR="00A945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94534" w:rsidRPr="00963622">
        <w:rPr>
          <w:rFonts w:ascii="Times New Roman" w:eastAsia="Times New Roman" w:hAnsi="Times New Roman" w:cs="Times New Roman"/>
          <w:sz w:val="24"/>
          <w:szCs w:val="24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A94534" w:rsidRPr="00963622" w:rsidRDefault="00A945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4) правоустанавливающие,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здание, помещение  (для правообладателя здания, помещения);</w:t>
      </w:r>
    </w:p>
    <w:p w:rsidR="00A94534" w:rsidRPr="00963622" w:rsidRDefault="00A945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5) правоустанавливающие документы на земельный участок (для правообладателя земельного участка);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6) 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80062C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80062C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представления:</w:t>
      </w:r>
    </w:p>
    <w:p w:rsidR="00D462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963622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правоустанавливающие, </w:t>
      </w:r>
      <w:proofErr w:type="spellStart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здание, помещение  (для правообладателя здания, помещения);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правоустанавливающие документы на земельный участок (для правообладателя земельного участка).</w:t>
      </w:r>
    </w:p>
    <w:p w:rsidR="00D462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3D01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Исчерпывающий перечень оснований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отказа в при</w:t>
      </w:r>
      <w:r w:rsidR="00D03D01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D03D01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муниципальной услуги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2.6. настоящего Административного регламента;</w:t>
      </w:r>
    </w:p>
    <w:p w:rsidR="00A01E9F" w:rsidRPr="00963622" w:rsidRDefault="00A01E9F" w:rsidP="00963622">
      <w:pPr>
        <w:spacing w:line="240" w:lineRule="auto"/>
        <w:ind w:firstLine="709"/>
        <w:jc w:val="both"/>
        <w:rPr>
          <w:rFonts w:ascii="Times" w:eastAsia="MS Mincho" w:hAnsi="Times"/>
          <w:sz w:val="24"/>
          <w:szCs w:val="24"/>
        </w:rPr>
      </w:pPr>
      <w:r w:rsidRPr="00963622">
        <w:rPr>
          <w:rFonts w:ascii="Times" w:eastAsia="MS Mincho" w:hAnsi="Times"/>
          <w:sz w:val="24"/>
          <w:szCs w:val="24"/>
        </w:rPr>
        <w:t>2.8.1 Исчерпывающий перечень оснований для приостановления  муниципальной услуги:</w:t>
      </w:r>
    </w:p>
    <w:p w:rsidR="00A01E9F" w:rsidRPr="00963622" w:rsidRDefault="00A01E9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" w:eastAsia="MS Mincho" w:hAnsi="Times"/>
          <w:sz w:val="24"/>
          <w:szCs w:val="24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963622" w:rsidRDefault="00283C1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7C3E6D" w:rsidRPr="00963622" w:rsidRDefault="007C3E6D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 - наличие в представленных документах недостоверной или искаженной информации;</w:t>
      </w:r>
    </w:p>
    <w:p w:rsidR="007C3E6D" w:rsidRPr="00963622" w:rsidRDefault="007C3E6D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 - обращение с заявлением о предоставлении муниципальной услуги ненадлежащего лица.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2.10.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Услуги, являющиеся необходимыми и обязательными для предоставления муниципальной услуги, отсутствуют.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7DB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2.11.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963622" w:rsidRDefault="00370EFE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07D85" w:rsidRPr="009636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.14.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 w:rsidR="00A01E9F" w:rsidRPr="00963622">
        <w:rPr>
          <w:rFonts w:ascii="Times New Roman" w:eastAsia="Times New Roman" w:hAnsi="Times New Roman" w:cs="Times New Roman"/>
          <w:sz w:val="24"/>
          <w:szCs w:val="24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963622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963622" w:rsidRDefault="00AB2E7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 xml:space="preserve">.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Pr="00963622" w:rsidRDefault="00B17DB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Pr="00963622" w:rsidRDefault="00C911CF" w:rsidP="00963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особенности выполнения </w:t>
      </w:r>
      <w:proofErr w:type="gramStart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</w:p>
    <w:p w:rsidR="00C911CF" w:rsidRPr="00963622" w:rsidRDefault="00C911CF" w:rsidP="00963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в многофункциональных центрах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при обращении по почте либо в электронной форме;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на отклонение от предельных параметров;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AB2E70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технических условий присоединения к сетям инженерно-технического обеспечения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д</w:t>
      </w:r>
      <w:r w:rsidR="00AB2E70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3.2.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3.3.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C911CF" w:rsidRPr="00963622" w:rsidRDefault="00963622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3.4.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ответственное за прием заявления и документов: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осуществляет прием заявления и документов;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регистрирует заявление в журнале регистрации входящих документов. 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Под регистрацией в журнале регистрации входящих документов понимается как регистрация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заявления на бумажном носителе, так и регистрация заявления в используемой в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Если при проверке комплект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ности представленных заявителем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исходя из 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ребований пункта 2.6 настоящего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должностн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ое лицо, ответственное за прием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выявляет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, что документы, представленные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заявителем для получения муницип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услуги, не соответствуют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установленным настоящим Административным регламентом требованиям,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оно уведомляет заявителя о перечне недостающих документов и предлагает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повторно обратиться, собрав необходимый пакет документов.</w:t>
      </w:r>
      <w:proofErr w:type="gramEnd"/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прием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D5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документов при обращении по почте</w:t>
      </w:r>
    </w:p>
    <w:p w:rsidR="00C911CF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либо в электронной форме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ом) для начала административной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процедуры является поступление в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по почте либо в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форме с помощью автоматизированных ин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формационных систем заявления 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и и документов, необходимых для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заявитель должен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представить самостоятельно в соответствии с пун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ктом 2.6 настоящего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3.10.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заявления 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C911CF" w:rsidRPr="00963622" w:rsidRDefault="00AB2E7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поступившее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заявление в журнале регистрации входящих документов;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>льной услуги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. Второй экземпляр уведомления на бумажном носителе хранится в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административной процедуры не может превышать 1 рабочий день.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3.13.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  административной   процедуры   является   прием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3.14.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) для приема документов на базе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МФЦ, является обращение заявителя с заявлением и документами,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необходимыми для предоставления муниципальной услуги, перечисленными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пункте 2.6 настояще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>го Административного регламента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3.15.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уточняет предмет обраще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МФЦ и проверяет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соответствие испрашиваем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ой муниципальной услуги перечню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предоставляемых государственных и муниципальных услуг на базе МФЦ.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3.16.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При получении заявления о пред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услуги, по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почте, от курьера или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сотрудник МФЦ, ответственный за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прием и регистрацию документов, регистрир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ует заявление.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3.17.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при получении заявления о предоставлении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услуги и документов по почте, от курьера или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3.18.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При непосредственном обращении заявителя в МФЦ сотрудник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МФЦ, ответственный за прием и ре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гистрацию документов, проверяет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комплектность документов в соответствии с требованиями пункта 2.6</w:t>
      </w:r>
      <w:r w:rsidR="00E827E3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 Если представленные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документы не соответствуют тр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ебованиям пункта 2.6 настоящего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сотрудник МФЦ, ответственный за прием и</w:t>
      </w:r>
      <w:r w:rsidR="00E827E3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регистрацию документов, разъясняет заявителю содержание недостатков,</w:t>
      </w:r>
      <w:r w:rsidR="00E827E3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выявленных в представленных доку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ментах, и предлагает с согласия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заявителя устранить недостатки.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3.19.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ответс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твенный за прием и регистрацию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передает сотруднику МФЦ,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формирование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дела, принятый при непосредствен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ном обращении заявителя в МФЦ и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заявление и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заявителем в МФЦ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Дело доставляется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сотрудником МФЦ, ответственным за доставку документов.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устанавливается соглашением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  <w:proofErr w:type="gramEnd"/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пунктами 3.4, 3.6 - 3.8 Административного регламента.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соответствующими соглашениями о взаимодействии.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70750" w:rsidRPr="00963622" w:rsidRDefault="00070750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уполномоченное на формирование и направление межведомственных запросов (далее -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должностное лицо, уполномоченное на формирование и направление межведомственных запросов).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3.29.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Направление запрос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ов осуществляется через систему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Фед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ерального закона от 27.07.2010 № 210-ФЗ «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услуг»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3.30.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под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готовки и направления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межведомственных запросов составляет 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рабочих дня со дня регистрации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заявления на предоставление муниципальной услуги.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3.31.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ответов на межведомственные запросы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составляет 5 рабочих дней со дня поступления запроса в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орган (организацию).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3.34.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Способом фиксации резуль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тата административной процедуры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является регистрация ответов на межведомственные запросы.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7E3" w:rsidRPr="00963622" w:rsidRDefault="00E827E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Pr="00963622" w:rsidRDefault="00E827E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решения заявителю.</w:t>
      </w:r>
    </w:p>
    <w:p w:rsidR="00E827E3" w:rsidRPr="00963622" w:rsidRDefault="00E827E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3.36. Должностное лицо администрации проверяет полученные документы.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3.37. В случае выявления оснований для отказа в соответствии с пунктом   2.9 настоящего административного регламента администрация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сельского поселения </w:t>
      </w:r>
      <w:r w:rsidR="00963622" w:rsidRPr="00963622">
        <w:rPr>
          <w:rFonts w:ascii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hAnsi="Times New Roman" w:cs="Times New Roman"/>
          <w:sz w:val="24"/>
          <w:szCs w:val="24"/>
        </w:rPr>
        <w:t xml:space="preserve">  и должно содержать основания для отказа с обязательной ссылкой на нарушение, предусмотренные пунктом 2.9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3.38.  В случае отсутствия оснований для отказа в предоставлении муниципальные услуги администрация формирует запрос в </w:t>
      </w:r>
      <w:proofErr w:type="spellStart"/>
      <w:r w:rsidRPr="00963622">
        <w:rPr>
          <w:rFonts w:ascii="Times New Roman" w:hAnsi="Times New Roman" w:cs="Times New Roman"/>
          <w:sz w:val="24"/>
          <w:szCs w:val="24"/>
        </w:rPr>
        <w:t>ресурс</w:t>
      </w:r>
      <w:r w:rsidR="00D22A0A" w:rsidRPr="00963622">
        <w:rPr>
          <w:rFonts w:ascii="Times New Roman" w:hAnsi="Times New Roman" w:cs="Times New Roman"/>
          <w:sz w:val="24"/>
          <w:szCs w:val="24"/>
        </w:rPr>
        <w:t>оснабжающие</w:t>
      </w:r>
      <w:proofErr w:type="spellEnd"/>
      <w:r w:rsidRPr="00963622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D22A0A" w:rsidRPr="00963622" w:rsidRDefault="00D22A0A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lastRenderedPageBreak/>
        <w:t xml:space="preserve">     3.39 .    После получения информации от </w:t>
      </w:r>
      <w:proofErr w:type="spellStart"/>
      <w:r w:rsidRPr="0096362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63622">
        <w:rPr>
          <w:rFonts w:ascii="Times New Roman" w:hAnsi="Times New Roman" w:cs="Times New Roman"/>
          <w:sz w:val="24"/>
          <w:szCs w:val="24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963622" w:rsidRDefault="009C4D3A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Формы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административного регламента.</w:t>
      </w:r>
    </w:p>
    <w:p w:rsidR="009C4D3A" w:rsidRPr="00963622" w:rsidRDefault="009C4D3A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4.1.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Текущий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контроль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соблюдением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последовательности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действий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определенных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процедурами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и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исполнением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ответственными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положений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настоящего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Административного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нормативных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правовых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актов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устанавливающих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требования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к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а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также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принятием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решений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осуществляется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постоянной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основе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лицом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9C4D3A" w:rsidP="0096362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Периодичность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осуществления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текущего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устанавливается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лицом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4.3.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включает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себя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проведение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выявление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устранение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нарушений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рассмотрение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принятие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подготовку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заинтересованных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содержащих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жалобы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действия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бездействие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)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4.4.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Периодичность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проведения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выполнения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положений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нормативных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устанавливающих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требования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к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определяются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текущий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год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4.5.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Решение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принимается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4.6.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годовых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выявлении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нарушений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реже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3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года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4.7.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осуществляются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структурным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подразделением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организацию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рассмотрению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граждан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лицами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соответствующих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C330AD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с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целью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устранения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нарушений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привлечения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виновных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к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ответственности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330AD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Результаты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отражаются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отдельной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справкой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4.8.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втечение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трех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рабочих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с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момента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поступления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соответствующего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проведении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направляют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затребованные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документы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копии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документов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выданных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результатам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4.9.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Административную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ответственность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предусмотренную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законодательством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несоблюдение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сроков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порядка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предусмотренного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настоящим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несут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участвующие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4.10.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могут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принимать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участие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электронных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опросах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форумах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анкетировании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вопросам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удовлетворенности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соблюдения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положений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сроков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последовательности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действий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процедур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),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предусмотренных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настоящим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проводимых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Едином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государственных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Региональном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официальном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сайте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района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Сызранский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направившие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) о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могут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осуществлять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ходом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ее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путем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получения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необходимой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информации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лично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время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приема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телефону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письменному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электронной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почте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через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Единый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государственных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Региональный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получения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такой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информации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время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приема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может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превышать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30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минут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письменное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о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ходе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направляется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позднее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двух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рабочих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данного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о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ходе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сделанное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телефону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электронной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почте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может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превышать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одного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рабочего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041393" w:rsidRPr="00963622" w:rsidRDefault="00041393" w:rsidP="0096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963622" w:rsidRDefault="0004139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963622" w:rsidRDefault="0004139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proofErr w:type="gramEnd"/>
    </w:p>
    <w:p w:rsidR="009C4D3A" w:rsidRPr="00963622" w:rsidRDefault="009C4D3A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администрацией, а также должностных лиц, муниципальных служащих в досудебном (внесудебном) порядке. 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5.2.  Жалоба может быть направлена по почте, с использованием информационно 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Жалоба должна содержать: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 досудебного (внесудебного) обжалования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5.3. Предметом досудебного (внесудебного обжалования) могут являться: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нарушение срока регистрации запроса заявителя о предоставлении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2) нарушение срока предоставления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 для предоставления муниципальной услуги, у заявителя;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  <w:proofErr w:type="gramEnd"/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отказ 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начала процедуры</w:t>
      </w: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досудебного (внесудебного) обжалования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Права заявителя на получение информации и документов, необходимых для обоснования и рассмотрения жалобы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5.6. Жалоба заявителя (получателя муниципальной услуги) или иного уполномоченного лица может быть адресована: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руководителю  органа местного самоуправления;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должностному лицу органа местного самоуправления, ответственному за организацию пред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оставления муниципальной услуги.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 рассмотрения жалобы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5.7.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Жалоба, поступившая в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администрацию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должностного лица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регистрации.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Результата досудебного (внесудебного) обжалования</w:t>
      </w: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5.8. По результатам рассмотрения жалобы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принимает одно из следующих решений: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отказе в удовлетворении жалобы.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неудобства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указывается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5.9.2. В случае признания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жалобы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963622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:rsidR="00963622" w:rsidRPr="00963622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bookmarkStart w:id="0" w:name="_GoBack"/>
      <w:bookmarkEnd w:id="0"/>
    </w:p>
    <w:p w:rsidR="004E63D0" w:rsidRPr="00E827E3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="00963622">
        <w:rPr>
          <w:rFonts w:ascii="Times New Roman" w:eastAsia="Times New Roman" w:hAnsi="Times New Roman" w:cs="Times New Roman"/>
          <w:sz w:val="28"/>
          <w:shd w:val="clear" w:color="auto" w:fill="FFFFFF"/>
        </w:rPr>
        <w:t>Новая Рачейка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м.р.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0E" w:rsidRDefault="00464C0E" w:rsidP="00FE74CF">
      <w:pPr>
        <w:spacing w:after="0" w:line="240" w:lineRule="auto"/>
      </w:pPr>
      <w:r>
        <w:separator/>
      </w:r>
    </w:p>
  </w:endnote>
  <w:endnote w:type="continuationSeparator" w:id="0">
    <w:p w:rsidR="00464C0E" w:rsidRDefault="00464C0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0E" w:rsidRDefault="00464C0E" w:rsidP="00FE74CF">
      <w:pPr>
        <w:spacing w:after="0" w:line="240" w:lineRule="auto"/>
      </w:pPr>
      <w:r>
        <w:separator/>
      </w:r>
    </w:p>
  </w:footnote>
  <w:footnote w:type="continuationSeparator" w:id="0">
    <w:p w:rsidR="00464C0E" w:rsidRDefault="00464C0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Pr="008E0A3C" w:rsidRDefault="00382182" w:rsidP="008E0A3C">
    <w:pPr>
      <w:pStyle w:val="a3"/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</w:t>
    </w:r>
    <w:r w:rsidRPr="008E0A3C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107D85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64C0E"/>
    <w:rsid w:val="004E63D0"/>
    <w:rsid w:val="00511550"/>
    <w:rsid w:val="00512244"/>
    <w:rsid w:val="005A2400"/>
    <w:rsid w:val="006271E9"/>
    <w:rsid w:val="007208E6"/>
    <w:rsid w:val="007C3E6D"/>
    <w:rsid w:val="007C6A1A"/>
    <w:rsid w:val="0080062C"/>
    <w:rsid w:val="00886846"/>
    <w:rsid w:val="008E0A3C"/>
    <w:rsid w:val="008E3C71"/>
    <w:rsid w:val="008E6709"/>
    <w:rsid w:val="008F7781"/>
    <w:rsid w:val="00963622"/>
    <w:rsid w:val="009C4D3A"/>
    <w:rsid w:val="00A01E9F"/>
    <w:rsid w:val="00A72B68"/>
    <w:rsid w:val="00A94534"/>
    <w:rsid w:val="00AB2E70"/>
    <w:rsid w:val="00B131D5"/>
    <w:rsid w:val="00B1459A"/>
    <w:rsid w:val="00B17DB0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E25594"/>
    <w:rsid w:val="00E827E3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ксения</cp:lastModifiedBy>
  <cp:revision>30</cp:revision>
  <dcterms:created xsi:type="dcterms:W3CDTF">2020-02-20T12:11:00Z</dcterms:created>
  <dcterms:modified xsi:type="dcterms:W3CDTF">2020-03-17T04:42:00Z</dcterms:modified>
</cp:coreProperties>
</file>