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FE74CF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483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539">
        <w:rPr>
          <w:rFonts w:ascii="Times New Roman" w:eastAsia="Times New Roman" w:hAnsi="Times New Roman" w:cs="Times New Roman"/>
          <w:b/>
          <w:sz w:val="28"/>
          <w:szCs w:val="28"/>
        </w:rPr>
        <w:t xml:space="preserve">04 марта 2020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№ 30</w:t>
      </w:r>
    </w:p>
    <w:p w:rsidR="00483539" w:rsidRPr="00483539" w:rsidRDefault="00483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>административного регламента предоставления администрацией сельского поселения Ивашевка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374FC" w:rsidRPr="00EA43D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39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одекса Р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года </w:t>
      </w:r>
      <w:r w:rsidR="000059F1" w:rsidRPr="00EA43DA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E74CF" w:rsidRPr="00EA43DA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Ивашевка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</w:p>
    <w:p w:rsidR="00FE579F" w:rsidRPr="00EA43DA" w:rsidRDefault="00FE579F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429DC" w:rsidRPr="00EA43DA" w:rsidRDefault="00107D85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EA43D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1E2D" w:rsidRPr="00EA43DA" w:rsidRDefault="00107D85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EA43DA">
        <w:rPr>
          <w:rFonts w:ascii="Times New Roman" w:eastAsia="Times New Roman" w:hAnsi="Times New Roman" w:cs="Times New Roman"/>
          <w:sz w:val="28"/>
          <w:szCs w:val="28"/>
        </w:rPr>
        <w:t>1. Утвердить прилагаем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ый 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«Предоставление разрешения на </w:t>
      </w:r>
      <w:r w:rsidR="004374FC" w:rsidRPr="00EA43DA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374FC" w:rsidRPr="00EA43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строительства».</w:t>
      </w:r>
    </w:p>
    <w:p w:rsidR="00EA43DA" w:rsidRPr="00EA43DA" w:rsidRDefault="00EA43DA" w:rsidP="00EA43DA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3D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4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от 17.01.2020 г. № 5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строительства, расположенных на территории сельского поселения Ивашевка»</w:t>
      </w:r>
      <w:r w:rsidR="003A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FE579F" w:rsidRPr="00EA43DA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>«Вестник Ивашевки»</w:t>
      </w:r>
      <w:r w:rsidR="00FE579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79F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  <w:lang w:val="en-US"/>
        </w:rPr>
        <w:t>syzrayon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 xml:space="preserve"> / .</w:t>
      </w: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</w:p>
    <w:p w:rsidR="008E670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А.А. Гаранин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483539" w:rsidRDefault="00483539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483539" w:rsidRDefault="00483539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FE74CF">
        <w:rPr>
          <w:rFonts w:ascii="Times New Roman" w:eastAsia="Times New Roman" w:hAnsi="Times New Roman" w:cs="Times New Roman"/>
          <w:spacing w:val="-10"/>
          <w:sz w:val="28"/>
        </w:rPr>
        <w:t>Ивашевка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483539">
        <w:rPr>
          <w:rFonts w:ascii="Times New Roman" w:eastAsia="Segoe UI Symbol" w:hAnsi="Times New Roman" w:cs="Times New Roman"/>
          <w:sz w:val="28"/>
        </w:rPr>
        <w:t xml:space="preserve">04.03.2020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483539">
        <w:rPr>
          <w:rFonts w:ascii="Times New Roman" w:eastAsia="Segoe UI Symbol" w:hAnsi="Times New Roman" w:cs="Times New Roman"/>
          <w:sz w:val="28"/>
        </w:rPr>
        <w:t xml:space="preserve"> 30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Ивашевка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администрацией сельского поселения Ивашевка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="004374FC" w:rsidRPr="004374FC">
        <w:rPr>
          <w:rFonts w:ascii="Times New Roman" w:eastAsia="Times New Roman" w:hAnsi="Times New Roman" w:cs="Times New Roman"/>
          <w:sz w:val="28"/>
        </w:rPr>
        <w:lastRenderedPageBreak/>
        <w:t>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Ивашевка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район, п. Кошелевка, ул. Школьная 1</w:t>
      </w:r>
      <w:r w:rsidR="00FA0349">
        <w:rPr>
          <w:rFonts w:ascii="Times New Roman" w:eastAsia="Times New Roman" w:hAnsi="Times New Roman" w:cs="Times New Roman"/>
          <w:sz w:val="28"/>
        </w:rPr>
        <w:t>1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Самарская область, Сызранский район, п. Кошелевка, ул. Школьная 1</w:t>
      </w:r>
      <w:r w:rsidR="00FA0349">
        <w:rPr>
          <w:rFonts w:ascii="Times New Roman" w:eastAsia="Times New Roman" w:hAnsi="Times New Roman" w:cs="Times New Roman"/>
          <w:sz w:val="28"/>
        </w:rPr>
        <w:t>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eastAsia="Times New Roman" w:hAnsi="Times New Roman" w:cs="Times New Roman"/>
          <w:sz w:val="28"/>
        </w:rPr>
        <w:t>s.p.ivashevka@mail.ru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93-24-</w:t>
      </w:r>
      <w:r w:rsidR="00FA0349">
        <w:rPr>
          <w:rFonts w:ascii="Times New Roman" w:eastAsia="Times New Roman" w:hAnsi="Times New Roman" w:cs="Times New Roman"/>
          <w:sz w:val="28"/>
        </w:rPr>
        <w:t>53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</w:t>
      </w:r>
      <w:r w:rsidR="00FA0349">
        <w:rPr>
          <w:rFonts w:ascii="Times New Roman" w:eastAsia="Times New Roman" w:hAnsi="Times New Roman" w:cs="Times New Roman"/>
          <w:sz w:val="28"/>
        </w:rPr>
        <w:t xml:space="preserve"> ч.</w:t>
      </w:r>
      <w:r w:rsidRPr="008E3C71">
        <w:rPr>
          <w:rFonts w:ascii="Times New Roman" w:eastAsia="Times New Roman" w:hAnsi="Times New Roman" w:cs="Times New Roman"/>
          <w:sz w:val="28"/>
        </w:rPr>
        <w:t>-9.30</w:t>
      </w:r>
      <w:r w:rsidR="00FA0349">
        <w:rPr>
          <w:rFonts w:ascii="Times New Roman" w:eastAsia="Times New Roman" w:hAnsi="Times New Roman" w:cs="Times New Roman"/>
          <w:sz w:val="28"/>
        </w:rPr>
        <w:t xml:space="preserve"> ч.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lastRenderedPageBreak/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Ивашевка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rFonts w:ascii="Times New Roman" w:eastAsia="Times New Roman" w:hAnsi="Times New Roman" w:cs="Times New Roman"/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Ивашевка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использования режимам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lastRenderedPageBreak/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 xml:space="preserve">, информационным стендам с образцами из заполнения и перечнем документов, необходимых для предоставления </w:t>
      </w:r>
      <w:r w:rsidR="00B17DB0" w:rsidRPr="0084681B">
        <w:rPr>
          <w:rFonts w:ascii="Times New Roman" w:eastAsia="Times New Roman" w:hAnsi="Times New Roman" w:cs="Times New Roman"/>
          <w:sz w:val="28"/>
        </w:rPr>
        <w:lastRenderedPageBreak/>
        <w:t>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органа, ответственное за прием заявления и документов, выдает сотруднику МФЦ, ответственному за доставку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lastRenderedPageBreak/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Ивашевка</w:t>
      </w:r>
      <w:r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>
        <w:rPr>
          <w:rFonts w:ascii="Times New Roman" w:eastAsia="Times New Roman" w:hAnsi="Times New Roman" w:cs="Times New Roman"/>
          <w:sz w:val="28"/>
        </w:rPr>
        <w:t xml:space="preserve">алее - </w:t>
      </w:r>
      <w:r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>
        <w:rPr>
          <w:rFonts w:ascii="Times New Roman" w:eastAsia="Times New Roman" w:hAnsi="Times New Roman" w:cs="Times New Roman"/>
          <w:sz w:val="28"/>
        </w:rPr>
        <w:t>Ивашевка;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Ивашевка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Ивашевка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Ивашевка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Ивашевка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сельского поселения Ивашевка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Ивашевка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302280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02280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4" o:spid="_x0000_s1026" style="position:absolute;left:0;text-align:left;margin-left:61.1pt;margin-top:2.9pt;width:3.55pt;height:23.05pt;z-index:251661312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2E4444" w:rsidRDefault="002E4444" w:rsidP="002E4444"/>
              </w:txbxContent>
            </v:textbox>
            <w10:wrap type="square" anchorx="page" anchory="page"/>
          </v:shape>
        </w:pic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302280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02280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5" o:spid="_x0000_s1027" style="position:absolute;left:0;text-align:left;margin-left:130.6pt;margin-top:30.65pt;width:109.5pt;height:26.25pt;z-index:251659264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2E4444" w:rsidRDefault="002E4444" w:rsidP="002E4444"/>
              </w:txbxContent>
            </v:textbox>
            <w10:wrap type="square" anchorx="page" anchory="page"/>
          </v:shape>
        </w:pict>
      </w:r>
      <w:r w:rsidRPr="00302280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6" o:spid="_x0000_s1028" style="position:absolute;left:0;text-align:left;margin-left:130.6pt;margin-top:13.7pt;width:101.25pt;height:1.5pt;flip:y;z-index:251660288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2E4444" w:rsidRDefault="002E4444" w:rsidP="002E4444"/>
              </w:txbxContent>
            </v:textbox>
            <w10:wrap type="square" anchorx="page" anchory="page"/>
          </v:shape>
        </w:pict>
      </w:r>
      <w:r w:rsidR="002E4444"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Ивашевка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985108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Ивашевка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83" w:rsidRDefault="00263883" w:rsidP="00FE74CF">
      <w:pPr>
        <w:spacing w:after="0" w:line="240" w:lineRule="auto"/>
      </w:pPr>
      <w:r>
        <w:separator/>
      </w:r>
    </w:p>
  </w:endnote>
  <w:endnote w:type="continuationSeparator" w:id="0">
    <w:p w:rsidR="00263883" w:rsidRDefault="00263883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83" w:rsidRDefault="00263883" w:rsidP="00FE74CF">
      <w:pPr>
        <w:spacing w:after="0" w:line="240" w:lineRule="auto"/>
      </w:pPr>
      <w:r>
        <w:separator/>
      </w:r>
    </w:p>
  </w:footnote>
  <w:footnote w:type="continuationSeparator" w:id="0">
    <w:p w:rsidR="00263883" w:rsidRDefault="00263883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FC" w:rsidRDefault="00437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42D7D"/>
    <w:rsid w:val="001F40BD"/>
    <w:rsid w:val="00263883"/>
    <w:rsid w:val="00283C1D"/>
    <w:rsid w:val="002900CC"/>
    <w:rsid w:val="002D2C14"/>
    <w:rsid w:val="002E4444"/>
    <w:rsid w:val="00302280"/>
    <w:rsid w:val="00311E2D"/>
    <w:rsid w:val="00354AF3"/>
    <w:rsid w:val="00370EFE"/>
    <w:rsid w:val="00395ADE"/>
    <w:rsid w:val="00397125"/>
    <w:rsid w:val="003A283D"/>
    <w:rsid w:val="003A7D62"/>
    <w:rsid w:val="003C0F57"/>
    <w:rsid w:val="003E6882"/>
    <w:rsid w:val="00404331"/>
    <w:rsid w:val="00415DE6"/>
    <w:rsid w:val="004374FC"/>
    <w:rsid w:val="00483539"/>
    <w:rsid w:val="004E2F9D"/>
    <w:rsid w:val="004E63D0"/>
    <w:rsid w:val="00511550"/>
    <w:rsid w:val="00542315"/>
    <w:rsid w:val="005A2400"/>
    <w:rsid w:val="006271E9"/>
    <w:rsid w:val="007C6A1A"/>
    <w:rsid w:val="0080062C"/>
    <w:rsid w:val="00837B8D"/>
    <w:rsid w:val="0084681B"/>
    <w:rsid w:val="00864B63"/>
    <w:rsid w:val="008D22E8"/>
    <w:rsid w:val="008E3C71"/>
    <w:rsid w:val="008E6709"/>
    <w:rsid w:val="008F7781"/>
    <w:rsid w:val="009C4D3A"/>
    <w:rsid w:val="00A01E9F"/>
    <w:rsid w:val="00AA5589"/>
    <w:rsid w:val="00B131D5"/>
    <w:rsid w:val="00B1459A"/>
    <w:rsid w:val="00B17DB0"/>
    <w:rsid w:val="00B54205"/>
    <w:rsid w:val="00B54D71"/>
    <w:rsid w:val="00B76C92"/>
    <w:rsid w:val="00C02934"/>
    <w:rsid w:val="00C330AD"/>
    <w:rsid w:val="00C911CF"/>
    <w:rsid w:val="00CA31BF"/>
    <w:rsid w:val="00D03D01"/>
    <w:rsid w:val="00D31080"/>
    <w:rsid w:val="00D360B5"/>
    <w:rsid w:val="00D46234"/>
    <w:rsid w:val="00DA0EB1"/>
    <w:rsid w:val="00DC20C4"/>
    <w:rsid w:val="00E959A9"/>
    <w:rsid w:val="00EA43DA"/>
    <w:rsid w:val="00EF6245"/>
    <w:rsid w:val="00F429DC"/>
    <w:rsid w:val="00F62547"/>
    <w:rsid w:val="00FA0349"/>
    <w:rsid w:val="00FE579F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No Spacing"/>
    <w:uiPriority w:val="1"/>
    <w:qFormat/>
    <w:rsid w:val="00EA4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AD36-7341-4CC9-95A7-FBE7B5DD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12157</Words>
  <Characters>69296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2020-03-05T04:13:00Z</cp:lastPrinted>
  <dcterms:created xsi:type="dcterms:W3CDTF">2020-04-03T05:11:00Z</dcterms:created>
  <dcterms:modified xsi:type="dcterms:W3CDTF">2020-04-03T05:11:00Z</dcterms:modified>
</cp:coreProperties>
</file>