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8C" w:rsidRDefault="00035E8C" w:rsidP="006A1ED1"/>
    <w:p w:rsidR="006A1ED1" w:rsidRDefault="006A1ED1" w:rsidP="006A1E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6A1ED1" w:rsidRDefault="006A1ED1" w:rsidP="006A1ED1">
      <w:pPr>
        <w:pStyle w:val="a6"/>
        <w:spacing w:after="0"/>
        <w:jc w:val="center"/>
        <w:outlineLvl w:val="0"/>
        <w:rPr>
          <w:b/>
        </w:rPr>
      </w:pPr>
      <w:r>
        <w:rPr>
          <w:b/>
          <w:bCs/>
        </w:rPr>
        <w:t xml:space="preserve">публичных слушаний </w:t>
      </w:r>
      <w:r>
        <w:rPr>
          <w:b/>
        </w:rPr>
        <w:t xml:space="preserve">в сельском поселении </w:t>
      </w:r>
      <w:r w:rsidR="005F7788">
        <w:rPr>
          <w:b/>
        </w:rPr>
        <w:t>Старая Рачейка</w:t>
      </w:r>
    </w:p>
    <w:p w:rsidR="006A1ED1" w:rsidRPr="00521DF4" w:rsidRDefault="006A1ED1" w:rsidP="006A1E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1DF4">
        <w:rPr>
          <w:b/>
          <w:sz w:val="20"/>
          <w:szCs w:val="20"/>
        </w:rPr>
        <w:t xml:space="preserve">муниципального района </w:t>
      </w:r>
      <w:r w:rsidR="00996A69" w:rsidRPr="00521DF4">
        <w:rPr>
          <w:b/>
          <w:sz w:val="20"/>
          <w:szCs w:val="20"/>
        </w:rPr>
        <w:fldChar w:fldCharType="begin"/>
      </w:r>
      <w:r w:rsidRPr="00521DF4">
        <w:rPr>
          <w:b/>
          <w:sz w:val="20"/>
          <w:szCs w:val="20"/>
        </w:rPr>
        <w:instrText xml:space="preserve"> MERGEFIELD Название_района </w:instrText>
      </w:r>
      <w:r w:rsidR="00996A69" w:rsidRPr="00521DF4">
        <w:rPr>
          <w:b/>
          <w:sz w:val="20"/>
          <w:szCs w:val="20"/>
        </w:rPr>
        <w:fldChar w:fldCharType="separate"/>
      </w:r>
      <w:r w:rsidRPr="00521DF4">
        <w:rPr>
          <w:b/>
          <w:noProof/>
          <w:sz w:val="20"/>
          <w:szCs w:val="20"/>
        </w:rPr>
        <w:t>Сызранский</w:t>
      </w:r>
      <w:r w:rsidR="00996A69" w:rsidRPr="00521DF4">
        <w:rPr>
          <w:b/>
          <w:sz w:val="20"/>
          <w:szCs w:val="20"/>
        </w:rPr>
        <w:fldChar w:fldCharType="end"/>
      </w:r>
      <w:r w:rsidRPr="00521DF4">
        <w:rPr>
          <w:b/>
          <w:sz w:val="20"/>
          <w:szCs w:val="20"/>
        </w:rPr>
        <w:t xml:space="preserve"> Самарской области</w:t>
      </w:r>
    </w:p>
    <w:p w:rsidR="006A1ED1" w:rsidRPr="00521DF4" w:rsidRDefault="006A1ED1" w:rsidP="006A1ED1">
      <w:pPr>
        <w:spacing w:before="120"/>
        <w:ind w:firstLine="680"/>
        <w:rPr>
          <w:sz w:val="20"/>
          <w:szCs w:val="20"/>
        </w:rPr>
      </w:pPr>
      <w:r w:rsidRPr="00521DF4">
        <w:rPr>
          <w:sz w:val="20"/>
          <w:szCs w:val="20"/>
        </w:rPr>
        <w:t xml:space="preserve"> 1.Дата проведения публичны</w:t>
      </w:r>
      <w:r w:rsidR="003E3EBE" w:rsidRPr="00521DF4">
        <w:rPr>
          <w:sz w:val="20"/>
          <w:szCs w:val="20"/>
        </w:rPr>
        <w:t>х</w:t>
      </w:r>
      <w:r w:rsidR="005C3EB6">
        <w:rPr>
          <w:sz w:val="20"/>
          <w:szCs w:val="20"/>
        </w:rPr>
        <w:t xml:space="preserve"> слушаний – </w:t>
      </w:r>
      <w:r w:rsidR="005C3EB6" w:rsidRPr="00860340">
        <w:rPr>
          <w:b/>
          <w:sz w:val="20"/>
          <w:szCs w:val="20"/>
        </w:rPr>
        <w:t xml:space="preserve">с  </w:t>
      </w:r>
      <w:r w:rsidR="00E31E9C">
        <w:rPr>
          <w:b/>
          <w:sz w:val="20"/>
          <w:szCs w:val="20"/>
        </w:rPr>
        <w:t>04 октября</w:t>
      </w:r>
      <w:r w:rsidR="005C3EB6" w:rsidRPr="00860340">
        <w:rPr>
          <w:b/>
          <w:sz w:val="20"/>
          <w:szCs w:val="20"/>
        </w:rPr>
        <w:t xml:space="preserve">  201</w:t>
      </w:r>
      <w:r w:rsidR="00997C72" w:rsidRPr="00860340">
        <w:rPr>
          <w:b/>
          <w:sz w:val="20"/>
          <w:szCs w:val="20"/>
        </w:rPr>
        <w:t>6</w:t>
      </w:r>
      <w:r w:rsidR="005C3EB6" w:rsidRPr="00860340">
        <w:rPr>
          <w:b/>
          <w:sz w:val="20"/>
          <w:szCs w:val="20"/>
        </w:rPr>
        <w:t xml:space="preserve">  </w:t>
      </w:r>
      <w:r w:rsidR="003E3EBE" w:rsidRPr="00860340">
        <w:rPr>
          <w:b/>
          <w:sz w:val="20"/>
          <w:szCs w:val="20"/>
        </w:rPr>
        <w:t xml:space="preserve"> года по </w:t>
      </w:r>
      <w:r w:rsidR="00E31E9C">
        <w:rPr>
          <w:b/>
          <w:sz w:val="20"/>
          <w:szCs w:val="20"/>
        </w:rPr>
        <w:t>24 октября</w:t>
      </w:r>
      <w:r w:rsidR="003E3EBE" w:rsidRPr="00860340">
        <w:rPr>
          <w:b/>
          <w:sz w:val="20"/>
          <w:szCs w:val="20"/>
        </w:rPr>
        <w:t xml:space="preserve"> </w:t>
      </w:r>
      <w:r w:rsidR="005C3EB6" w:rsidRPr="00860340">
        <w:rPr>
          <w:b/>
          <w:sz w:val="20"/>
          <w:szCs w:val="20"/>
        </w:rPr>
        <w:t xml:space="preserve"> 201</w:t>
      </w:r>
      <w:r w:rsidR="00997C72" w:rsidRPr="00860340">
        <w:rPr>
          <w:b/>
          <w:sz w:val="20"/>
          <w:szCs w:val="20"/>
        </w:rPr>
        <w:t>6</w:t>
      </w:r>
      <w:r w:rsidR="005C3EB6" w:rsidRPr="00860340">
        <w:rPr>
          <w:b/>
          <w:sz w:val="20"/>
          <w:szCs w:val="20"/>
        </w:rPr>
        <w:t xml:space="preserve">  </w:t>
      </w:r>
      <w:r w:rsidRPr="00860340">
        <w:rPr>
          <w:b/>
          <w:sz w:val="20"/>
          <w:szCs w:val="20"/>
        </w:rPr>
        <w:t>года.</w:t>
      </w:r>
    </w:p>
    <w:p w:rsidR="006A1ED1" w:rsidRPr="00521DF4" w:rsidRDefault="006A1ED1" w:rsidP="00CB0B6F">
      <w:pPr>
        <w:spacing w:before="120"/>
        <w:ind w:firstLine="680"/>
        <w:jc w:val="both"/>
        <w:rPr>
          <w:sz w:val="20"/>
          <w:szCs w:val="20"/>
        </w:rPr>
      </w:pPr>
      <w:r w:rsidRPr="00521DF4">
        <w:rPr>
          <w:sz w:val="20"/>
          <w:szCs w:val="20"/>
        </w:rPr>
        <w:t>2.Место проведения публичных слушаний –</w:t>
      </w:r>
      <w:r w:rsidR="005F7788">
        <w:rPr>
          <w:sz w:val="20"/>
          <w:szCs w:val="20"/>
        </w:rPr>
        <w:t>446050</w:t>
      </w:r>
      <w:r w:rsidRPr="00521DF4">
        <w:rPr>
          <w:sz w:val="20"/>
          <w:szCs w:val="20"/>
        </w:rPr>
        <w:t xml:space="preserve">, Самарская область, </w:t>
      </w:r>
      <w:r w:rsidR="00996A69" w:rsidRPr="00521DF4">
        <w:rPr>
          <w:sz w:val="20"/>
          <w:szCs w:val="20"/>
        </w:rPr>
        <w:fldChar w:fldCharType="begin"/>
      </w:r>
      <w:r w:rsidR="00CD7ABB" w:rsidRPr="00521DF4">
        <w:rPr>
          <w:sz w:val="20"/>
          <w:szCs w:val="20"/>
        </w:rPr>
        <w:instrText xml:space="preserve"> MERGEFIELD Место_ведения_протокола_публичных_слушан </w:instrText>
      </w:r>
      <w:r w:rsidR="00996A69" w:rsidRPr="00521DF4">
        <w:rPr>
          <w:sz w:val="20"/>
          <w:szCs w:val="20"/>
        </w:rPr>
        <w:fldChar w:fldCharType="separate"/>
      </w:r>
      <w:r w:rsidR="005F7788">
        <w:rPr>
          <w:noProof/>
          <w:sz w:val="20"/>
          <w:szCs w:val="20"/>
        </w:rPr>
        <w:t>Сызранский район, село Старая Рачейка, ул. Октябрьская</w:t>
      </w:r>
      <w:r w:rsidR="00CB0B6F">
        <w:rPr>
          <w:noProof/>
          <w:sz w:val="20"/>
          <w:szCs w:val="20"/>
        </w:rPr>
        <w:t>, д.60</w:t>
      </w:r>
      <w:r w:rsidR="00996A69" w:rsidRPr="00521DF4">
        <w:rPr>
          <w:sz w:val="20"/>
          <w:szCs w:val="20"/>
        </w:rPr>
        <w:fldChar w:fldCharType="end"/>
      </w:r>
      <w:r w:rsidRPr="00521DF4">
        <w:rPr>
          <w:rFonts w:eastAsia="Arial Unicode MS"/>
          <w:sz w:val="20"/>
          <w:szCs w:val="20"/>
        </w:rPr>
        <w:t xml:space="preserve"> </w:t>
      </w:r>
      <w:r w:rsidR="00CB0B6F">
        <w:rPr>
          <w:rFonts w:eastAsia="Arial Unicode MS"/>
          <w:sz w:val="20"/>
          <w:szCs w:val="20"/>
        </w:rPr>
        <w:t>.</w:t>
      </w:r>
      <w:r w:rsidRPr="00521DF4">
        <w:rPr>
          <w:rFonts w:eastAsia="Arial Unicode MS"/>
          <w:sz w:val="20"/>
          <w:szCs w:val="20"/>
        </w:rPr>
        <w:t xml:space="preserve">     </w:t>
      </w:r>
      <w:r w:rsidR="00087B13">
        <w:rPr>
          <w:rFonts w:eastAsia="Arial Unicode MS"/>
          <w:sz w:val="20"/>
          <w:szCs w:val="20"/>
        </w:rPr>
        <w:t xml:space="preserve">    </w:t>
      </w:r>
      <w:r w:rsidRPr="00521DF4">
        <w:rPr>
          <w:rFonts w:eastAsia="Arial Unicode MS"/>
          <w:sz w:val="20"/>
          <w:szCs w:val="20"/>
        </w:rPr>
        <w:t xml:space="preserve">   3. Вопросы, выносимые на публичны</w:t>
      </w:r>
      <w:r w:rsidR="003E3EBE" w:rsidRPr="00521DF4">
        <w:rPr>
          <w:rFonts w:eastAsia="Arial Unicode MS"/>
          <w:sz w:val="20"/>
          <w:szCs w:val="20"/>
        </w:rPr>
        <w:t xml:space="preserve">е слушания </w:t>
      </w:r>
      <w:proofErr w:type="gramStart"/>
      <w:r w:rsidR="005F7788">
        <w:rPr>
          <w:rFonts w:eastAsia="Arial Unicode MS"/>
          <w:sz w:val="20"/>
          <w:szCs w:val="20"/>
        </w:rPr>
        <w:t>–«</w:t>
      </w:r>
      <w:proofErr w:type="gramEnd"/>
      <w:r w:rsidR="00521DF4" w:rsidRPr="00521DF4">
        <w:rPr>
          <w:rFonts w:eastAsia="Arial Unicode MS"/>
          <w:sz w:val="20"/>
          <w:szCs w:val="20"/>
        </w:rPr>
        <w:t>О внесении  изменений</w:t>
      </w:r>
      <w:r w:rsidR="00E31E9C">
        <w:rPr>
          <w:rFonts w:eastAsia="Arial Unicode MS"/>
          <w:sz w:val="20"/>
          <w:szCs w:val="20"/>
        </w:rPr>
        <w:t xml:space="preserve"> дополнений</w:t>
      </w:r>
      <w:r w:rsidR="003E3EBE" w:rsidRPr="00521DF4">
        <w:rPr>
          <w:rFonts w:eastAsia="Arial Unicode MS"/>
          <w:sz w:val="20"/>
          <w:szCs w:val="20"/>
        </w:rPr>
        <w:t xml:space="preserve"> </w:t>
      </w:r>
      <w:r w:rsidR="00521DF4" w:rsidRPr="00521DF4">
        <w:rPr>
          <w:sz w:val="20"/>
          <w:szCs w:val="20"/>
        </w:rPr>
        <w:t>в   Правила землепользования и заст</w:t>
      </w:r>
      <w:r w:rsidR="005F7788">
        <w:rPr>
          <w:sz w:val="20"/>
          <w:szCs w:val="20"/>
        </w:rPr>
        <w:t>ройки сельского поселения Старая Рачейка</w:t>
      </w:r>
      <w:r w:rsidR="00521DF4" w:rsidRPr="00521DF4">
        <w:rPr>
          <w:sz w:val="20"/>
          <w:szCs w:val="20"/>
        </w:rPr>
        <w:t xml:space="preserve"> муниципального района </w:t>
      </w:r>
      <w:proofErr w:type="spellStart"/>
      <w:r w:rsidR="00521DF4" w:rsidRPr="00521DF4">
        <w:rPr>
          <w:sz w:val="20"/>
          <w:szCs w:val="20"/>
        </w:rPr>
        <w:t>Сызранский</w:t>
      </w:r>
      <w:proofErr w:type="spellEnd"/>
      <w:r w:rsidR="00521DF4" w:rsidRPr="00521DF4">
        <w:rPr>
          <w:sz w:val="20"/>
          <w:szCs w:val="20"/>
        </w:rPr>
        <w:t xml:space="preserve"> Самарской области, утвержденные решением Собрания представителей сельского поселени</w:t>
      </w:r>
      <w:r w:rsidR="005F7788">
        <w:rPr>
          <w:sz w:val="20"/>
          <w:szCs w:val="20"/>
        </w:rPr>
        <w:t>я Старая Рачейка</w:t>
      </w:r>
      <w:r w:rsidR="00521DF4" w:rsidRPr="00521DF4">
        <w:rPr>
          <w:sz w:val="20"/>
          <w:szCs w:val="20"/>
        </w:rPr>
        <w:t xml:space="preserve"> муниципального района </w:t>
      </w:r>
      <w:r w:rsidR="00996A69" w:rsidRPr="00521DF4">
        <w:rPr>
          <w:sz w:val="20"/>
          <w:szCs w:val="20"/>
        </w:rPr>
        <w:fldChar w:fldCharType="begin"/>
      </w:r>
      <w:r w:rsidR="00521DF4" w:rsidRPr="00521DF4">
        <w:rPr>
          <w:sz w:val="20"/>
          <w:szCs w:val="20"/>
        </w:rPr>
        <w:instrText xml:space="preserve"> MERGEFIELD Район </w:instrText>
      </w:r>
      <w:r w:rsidR="00996A69" w:rsidRPr="00521DF4">
        <w:rPr>
          <w:sz w:val="20"/>
          <w:szCs w:val="20"/>
        </w:rPr>
        <w:fldChar w:fldCharType="separate"/>
      </w:r>
      <w:r w:rsidR="00521DF4" w:rsidRPr="00521DF4">
        <w:rPr>
          <w:noProof/>
          <w:sz w:val="20"/>
          <w:szCs w:val="20"/>
        </w:rPr>
        <w:t>Сызранский</w:t>
      </w:r>
      <w:r w:rsidR="00996A69" w:rsidRPr="00521DF4">
        <w:rPr>
          <w:sz w:val="20"/>
          <w:szCs w:val="20"/>
        </w:rPr>
        <w:fldChar w:fldCharType="end"/>
      </w:r>
      <w:r w:rsidR="005F7788">
        <w:rPr>
          <w:sz w:val="20"/>
          <w:szCs w:val="20"/>
        </w:rPr>
        <w:t xml:space="preserve"> Самарской области №  8 от  26.03.2014</w:t>
      </w:r>
      <w:r w:rsidR="00521DF4" w:rsidRPr="00521DF4">
        <w:rPr>
          <w:sz w:val="20"/>
          <w:szCs w:val="20"/>
        </w:rPr>
        <w:t>года».</w:t>
      </w:r>
    </w:p>
    <w:p w:rsidR="006A1ED1" w:rsidRPr="00521DF4" w:rsidRDefault="006A1ED1" w:rsidP="006A1ED1">
      <w:pPr>
        <w:spacing w:before="160"/>
        <w:ind w:firstLine="680"/>
        <w:jc w:val="both"/>
        <w:rPr>
          <w:sz w:val="20"/>
          <w:szCs w:val="20"/>
        </w:rPr>
      </w:pPr>
      <w:r w:rsidRPr="00521DF4">
        <w:rPr>
          <w:sz w:val="20"/>
          <w:szCs w:val="20"/>
        </w:rPr>
        <w:t xml:space="preserve">4.При проведении публичных слушаний участниками публичных слушаний высказаны следующие мнения, предложения и замечания:  </w:t>
      </w:r>
    </w:p>
    <w:p w:rsidR="006A1ED1" w:rsidRDefault="006A1ED1" w:rsidP="006A1ED1">
      <w:pPr>
        <w:spacing w:before="160"/>
        <w:ind w:firstLine="680"/>
        <w:jc w:val="both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1198"/>
        <w:gridCol w:w="1560"/>
        <w:gridCol w:w="992"/>
        <w:gridCol w:w="709"/>
      </w:tblGrid>
      <w:tr w:rsidR="006A1ED1" w:rsidTr="008B4ED7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1" w:rsidRPr="00860340" w:rsidRDefault="006A1ED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340">
              <w:rPr>
                <w:sz w:val="16"/>
                <w:szCs w:val="16"/>
              </w:rPr>
              <w:t>№</w:t>
            </w:r>
          </w:p>
          <w:p w:rsidR="006A1ED1" w:rsidRPr="00860340" w:rsidRDefault="006A1ED1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860340">
              <w:rPr>
                <w:sz w:val="16"/>
                <w:szCs w:val="16"/>
              </w:rPr>
              <w:t>п</w:t>
            </w:r>
            <w:proofErr w:type="gramEnd"/>
            <w:r w:rsidRPr="00860340">
              <w:rPr>
                <w:sz w:val="16"/>
                <w:szCs w:val="16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1" w:rsidRPr="00860340" w:rsidRDefault="006A1ED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60340">
              <w:rPr>
                <w:sz w:val="16"/>
                <w:szCs w:val="16"/>
              </w:rPr>
              <w:t>Дата и время внесения данных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1" w:rsidRDefault="006A1ED1">
            <w:pPr>
              <w:spacing w:line="276" w:lineRule="auto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1" w:rsidRPr="00FD6C8E" w:rsidRDefault="006A1ED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6C8E">
              <w:rPr>
                <w:sz w:val="16"/>
                <w:szCs w:val="16"/>
              </w:rPr>
              <w:t>Ф.И.О. лица, выразившего мнение по вопросу публичных слушаний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1" w:rsidRPr="00FD6C8E" w:rsidRDefault="006A1ED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6C8E">
              <w:rPr>
                <w:sz w:val="16"/>
                <w:szCs w:val="16"/>
              </w:rPr>
              <w:t xml:space="preserve">Данные документа, удостоверяющего личность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1" w:rsidRPr="00FD6C8E" w:rsidRDefault="006A1ED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6C8E">
              <w:rPr>
                <w:sz w:val="16"/>
                <w:szCs w:val="16"/>
              </w:rPr>
              <w:t>Подпись</w:t>
            </w:r>
          </w:p>
        </w:tc>
      </w:tr>
      <w:tr w:rsidR="006A1ED1" w:rsidRPr="00860340" w:rsidTr="008B4ED7">
        <w:trPr>
          <w:trHeight w:val="1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1" w:rsidRPr="00860340" w:rsidRDefault="00035E8C" w:rsidP="00860340">
            <w:pPr>
              <w:contextualSpacing/>
              <w:rPr>
                <w:sz w:val="14"/>
                <w:szCs w:val="14"/>
              </w:rPr>
            </w:pPr>
            <w:r w:rsidRPr="00860340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40" w:rsidRPr="00A31112" w:rsidRDefault="00E31E9C" w:rsidP="00860340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23.10</w:t>
            </w:r>
            <w:r w:rsidR="00CB0B6F" w:rsidRPr="00A31112">
              <w:rPr>
                <w:sz w:val="14"/>
                <w:szCs w:val="14"/>
              </w:rPr>
              <w:t>.</w:t>
            </w:r>
          </w:p>
          <w:p w:rsidR="00997C72" w:rsidRPr="00A31112" w:rsidRDefault="00CB0B6F" w:rsidP="00860340">
            <w:pPr>
              <w:contextualSpacing/>
              <w:rPr>
                <w:sz w:val="14"/>
                <w:szCs w:val="14"/>
              </w:rPr>
            </w:pPr>
            <w:r w:rsidRPr="00A31112">
              <w:rPr>
                <w:sz w:val="14"/>
                <w:szCs w:val="14"/>
              </w:rPr>
              <w:t xml:space="preserve">2016г. </w:t>
            </w:r>
          </w:p>
          <w:p w:rsidR="00CB0B6F" w:rsidRPr="00A31112" w:rsidRDefault="00CB0B6F" w:rsidP="00860340">
            <w:pPr>
              <w:contextualSpacing/>
              <w:rPr>
                <w:sz w:val="14"/>
                <w:szCs w:val="14"/>
              </w:rPr>
            </w:pPr>
            <w:r w:rsidRPr="00A31112">
              <w:rPr>
                <w:sz w:val="14"/>
                <w:szCs w:val="14"/>
              </w:rPr>
              <w:t>11.00ч.</w:t>
            </w:r>
          </w:p>
          <w:p w:rsidR="006A1ED1" w:rsidRPr="00860340" w:rsidRDefault="006A1ED1" w:rsidP="00860340">
            <w:pPr>
              <w:contextualSpacing/>
              <w:rPr>
                <w:sz w:val="14"/>
                <w:szCs w:val="14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9C" w:rsidRDefault="00E31E9C" w:rsidP="00E31E9C">
            <w:pPr>
              <w:contextualSpacing/>
              <w:rPr>
                <w:sz w:val="14"/>
                <w:szCs w:val="14"/>
              </w:rPr>
            </w:pPr>
          </w:p>
          <w:p w:rsidR="00E31E9C" w:rsidRDefault="00E31E9C" w:rsidP="00E31E9C">
            <w:pPr>
              <w:rPr>
                <w:sz w:val="14"/>
                <w:szCs w:val="14"/>
              </w:rPr>
            </w:pPr>
          </w:p>
          <w:p w:rsidR="006A1ED1" w:rsidRPr="002E286C" w:rsidRDefault="006A1ED1" w:rsidP="00E31E9C">
            <w:pPr>
              <w:rPr>
                <w:sz w:val="16"/>
                <w:szCs w:val="16"/>
              </w:rPr>
            </w:pPr>
          </w:p>
          <w:p w:rsidR="002E286C" w:rsidRPr="002E286C" w:rsidRDefault="002E286C" w:rsidP="002E286C">
            <w:pPr>
              <w:spacing w:line="360" w:lineRule="auto"/>
              <w:ind w:right="-7" w:firstLine="700"/>
              <w:jc w:val="both"/>
              <w:rPr>
                <w:sz w:val="16"/>
                <w:szCs w:val="16"/>
                <w:u w:color="FFFFFF"/>
              </w:rPr>
            </w:pPr>
            <w:r w:rsidRPr="002E286C">
              <w:rPr>
                <w:sz w:val="16"/>
                <w:szCs w:val="16"/>
                <w:u w:color="FFFFFF"/>
              </w:rPr>
              <w:t>1.1. Дополнить в статье 53 Правил регламент для зоны Ж</w:t>
            </w:r>
            <w:proofErr w:type="gramStart"/>
            <w:r w:rsidRPr="002E286C">
              <w:rPr>
                <w:sz w:val="16"/>
                <w:szCs w:val="16"/>
                <w:u w:color="FFFFFF"/>
              </w:rPr>
              <w:t>2</w:t>
            </w:r>
            <w:proofErr w:type="gramEnd"/>
            <w:r w:rsidRPr="002E286C">
              <w:rPr>
                <w:sz w:val="16"/>
                <w:szCs w:val="16"/>
                <w:u w:color="FFFFFF"/>
              </w:rPr>
              <w:t xml:space="preserve"> «Зона застройки малоэтажными жилыми домами» основным видом разрешенного использования земельных участков и объектов капитального строительства:</w:t>
            </w:r>
          </w:p>
          <w:p w:rsidR="002E286C" w:rsidRPr="002E286C" w:rsidRDefault="002E286C" w:rsidP="002E286C">
            <w:pPr>
              <w:spacing w:line="360" w:lineRule="auto"/>
              <w:ind w:right="-7" w:firstLine="700"/>
              <w:jc w:val="both"/>
              <w:rPr>
                <w:sz w:val="16"/>
                <w:szCs w:val="16"/>
                <w:u w:color="FFFFFF"/>
              </w:rPr>
            </w:pPr>
            <w:r w:rsidRPr="002E286C">
              <w:rPr>
                <w:sz w:val="16"/>
                <w:szCs w:val="16"/>
                <w:u w:color="FFFFFF"/>
              </w:rPr>
              <w:t>- для ведения личного подсобного хозяйства.</w:t>
            </w:r>
          </w:p>
          <w:p w:rsidR="002E286C" w:rsidRPr="002E286C" w:rsidRDefault="002E286C" w:rsidP="002E286C">
            <w:pPr>
              <w:spacing w:line="360" w:lineRule="auto"/>
              <w:ind w:firstLine="700"/>
              <w:jc w:val="both"/>
              <w:rPr>
                <w:sz w:val="16"/>
                <w:szCs w:val="16"/>
                <w:u w:color="FFFFFF"/>
              </w:rPr>
            </w:pPr>
            <w:r w:rsidRPr="002E286C">
              <w:rPr>
                <w:sz w:val="16"/>
                <w:szCs w:val="16"/>
                <w:u w:color="FFFFFF"/>
              </w:rPr>
              <w:t>1.2. Статьи 54, 55 Правил признать утратившими силу.</w:t>
            </w:r>
          </w:p>
          <w:p w:rsidR="002E286C" w:rsidRDefault="00E30D12" w:rsidP="00E31E9C">
            <w:pPr>
              <w:rPr>
                <w:sz w:val="16"/>
                <w:szCs w:val="16"/>
                <w:u w:color="FFFFFF"/>
              </w:rPr>
            </w:pPr>
            <w:r w:rsidRPr="00E30D12">
              <w:rPr>
                <w:sz w:val="16"/>
                <w:szCs w:val="16"/>
                <w:u w:color="FFFFFF"/>
              </w:rPr>
              <w:t>1.3. Дополнить Правила статьями 54.1-54.4 следующего содержания</w:t>
            </w:r>
            <w:r>
              <w:rPr>
                <w:sz w:val="16"/>
                <w:szCs w:val="16"/>
                <w:u w:color="FFFFFF"/>
              </w:rPr>
              <w:t>:</w:t>
            </w:r>
          </w:p>
          <w:p w:rsidR="00A65940" w:rsidRPr="0015062F" w:rsidRDefault="00A65940" w:rsidP="00A65940">
            <w:pPr>
              <w:jc w:val="center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1"/>
              <w:tblW w:w="117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"/>
              <w:gridCol w:w="517"/>
              <w:gridCol w:w="4631"/>
              <w:gridCol w:w="630"/>
              <w:gridCol w:w="79"/>
              <w:gridCol w:w="630"/>
              <w:gridCol w:w="221"/>
              <w:gridCol w:w="567"/>
              <w:gridCol w:w="63"/>
              <w:gridCol w:w="567"/>
              <w:gridCol w:w="220"/>
              <w:gridCol w:w="517"/>
              <w:gridCol w:w="113"/>
              <w:gridCol w:w="221"/>
              <w:gridCol w:w="567"/>
              <w:gridCol w:w="63"/>
              <w:gridCol w:w="567"/>
              <w:gridCol w:w="78"/>
              <w:gridCol w:w="630"/>
              <w:gridCol w:w="79"/>
              <w:gridCol w:w="583"/>
              <w:gridCol w:w="47"/>
            </w:tblGrid>
            <w:tr w:rsidR="00A65940" w:rsidRPr="0015062F" w:rsidTr="00A65940">
              <w:trPr>
                <w:gridBefore w:val="1"/>
                <w:gridAfter w:val="9"/>
                <w:wBefore w:w="113" w:type="dxa"/>
                <w:wAfter w:w="2835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Наименование параметра</w:t>
                  </w:r>
                </w:p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9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  <w:trHeight w:val="184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Ж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Ж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Ж5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Ж8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О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О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2</w:t>
                  </w:r>
                  <w:proofErr w:type="gramEnd"/>
                </w:p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О3</w:t>
                  </w:r>
                </w:p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О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6</w:t>
                  </w:r>
                  <w:proofErr w:type="gramEnd"/>
                </w:p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9606" w:type="dxa"/>
                  <w:gridSpan w:val="15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  <w:trHeight w:val="353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 для индивидуальной жилой застройки,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  <w:trHeight w:val="288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земельного участка для индивидуальной жилой застройки,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 для блокированной жилой застройки, на каждый блок,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земельного участка для блокированной жилой застройки, на каждый блок,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 для ведения личного подсобного хозяйства,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земельного участка для ведения личного подсобного хозяйства,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 для многоквартирной жилой застройки до трех этажей,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lastRenderedPageBreak/>
                    <w:t>8.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 для многоквартирной жилой застройки свыше трех этажей,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7500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кв.м. 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A65940" w:rsidRPr="0015062F" w:rsidTr="00A65940">
              <w:trPr>
                <w:gridBefore w:val="1"/>
                <w:gridAfter w:val="1"/>
                <w:wBefore w:w="113" w:type="dxa"/>
                <w:wAfter w:w="47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2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</w:tr>
            <w:tr w:rsidR="00A65940" w:rsidRPr="0015062F" w:rsidTr="00A65940">
              <w:trPr>
                <w:gridBefore w:val="1"/>
                <w:gridAfter w:val="9"/>
                <w:wBefore w:w="113" w:type="dxa"/>
                <w:wAfter w:w="2835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38" w:type="dxa"/>
                  <w:gridSpan w:val="11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Предельное количество этажей или предельная высота зданий, строений и сооружений</w:t>
                  </w:r>
                </w:p>
              </w:tc>
            </w:tr>
            <w:tr w:rsidR="00A65940" w:rsidRPr="0015062F" w:rsidTr="00A65940">
              <w:trPr>
                <w:gridBefore w:val="1"/>
                <w:wBefore w:w="113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Максимальная высота зданий, строений и сооружений,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22,5</w:t>
                  </w:r>
                </w:p>
              </w:tc>
            </w:tr>
            <w:tr w:rsidR="00A65940" w:rsidRPr="0015062F" w:rsidTr="00A65940">
              <w:trPr>
                <w:gridBefore w:val="1"/>
                <w:gridAfter w:val="9"/>
                <w:wBefore w:w="113" w:type="dxa"/>
                <w:wAfter w:w="2835" w:type="dxa"/>
              </w:trPr>
              <w:tc>
                <w:tcPr>
                  <w:tcW w:w="8755" w:type="dxa"/>
                  <w:gridSpan w:val="1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</w:tr>
            <w:tr w:rsidR="00A65940" w:rsidRPr="0015062F" w:rsidTr="00A65940">
              <w:trPr>
                <w:gridBefore w:val="1"/>
                <w:wBefore w:w="113" w:type="dxa"/>
              </w:trPr>
              <w:tc>
                <w:tcPr>
                  <w:tcW w:w="517" w:type="dxa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26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до отдельно стоящих зданий,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до отдельно стоящих зданий,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  <w:trHeight w:val="225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до строений и сооружений,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  <w:trHeight w:val="255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до красных линий,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10"/>
                <w:wAfter w:w="2948" w:type="dxa"/>
              </w:trPr>
              <w:tc>
                <w:tcPr>
                  <w:tcW w:w="8755" w:type="dxa"/>
                  <w:gridSpan w:val="1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для индивидуальной жилой застройки, %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для ведения личного подсобного хозяйства, %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для блокированной жилой застройки, %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для многоквартирной жилой застройки, %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в иных случаях, за исключением случаев, указанных в пунктах 19-23 настоящей статьи, %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90</w:t>
                  </w:r>
                </w:p>
              </w:tc>
            </w:tr>
            <w:tr w:rsidR="00A65940" w:rsidRPr="0015062F" w:rsidTr="00A65940">
              <w:trPr>
                <w:gridAfter w:val="10"/>
                <w:wAfter w:w="2948" w:type="dxa"/>
                <w:trHeight w:val="70"/>
              </w:trPr>
              <w:tc>
                <w:tcPr>
                  <w:tcW w:w="8755" w:type="dxa"/>
                  <w:gridSpan w:val="1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Иные показатели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(бытовой разрыв) между зданиями </w:t>
                  </w:r>
                  <w:r w:rsidRPr="0015062F">
                    <w:rPr>
                      <w:sz w:val="16"/>
                      <w:szCs w:val="16"/>
                    </w:rPr>
                    <w:lastRenderedPageBreak/>
                    <w:t xml:space="preserve">индивидуальной жилой застройки и (или) зданиями блокированной жилой застройки,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lastRenderedPageBreak/>
                    <w:t xml:space="preserve">Минимальный отступ (бытовой разрыв) между зданиями многоквартирной жилой застройки,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Максимальное количество блоков в блокированной жилой застройке, </w:t>
                  </w:r>
                  <w:proofErr w:type="spellStart"/>
                  <w:proofErr w:type="gramStart"/>
                  <w:r w:rsidRPr="0015062F"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2000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отдельно стоящих зданий объектов физической культуры и спорта,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отдельно стоящих зданий, строений и сооружений объектов хранения и стоянки транспортных средств, кв.м.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1200</w:t>
                  </w:r>
                </w:p>
              </w:tc>
            </w:tr>
            <w:tr w:rsidR="00A65940" w:rsidRPr="0015062F" w:rsidTr="00A65940">
              <w:trPr>
                <w:gridAfter w:val="2"/>
                <w:wAfter w:w="630" w:type="dxa"/>
              </w:trPr>
              <w:tc>
                <w:tcPr>
                  <w:tcW w:w="526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Максимальная высота капитальных ограждений земельных участков,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  <w:gridSpan w:val="3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A65940" w:rsidRDefault="00A65940" w:rsidP="00A65940">
            <w:pPr>
              <w:jc w:val="center"/>
              <w:rPr>
                <w:b/>
                <w:sz w:val="16"/>
                <w:szCs w:val="16"/>
              </w:rPr>
            </w:pPr>
            <w:r w:rsidRPr="0015062F">
              <w:rPr>
                <w:b/>
                <w:sz w:val="16"/>
                <w:szCs w:val="16"/>
              </w:rPr>
              <w:t xml:space="preserve">Статья 54.1. Предельные размеры земельных участков и предельные параметры разрешенного строительства, реконструкции объектов </w:t>
            </w:r>
          </w:p>
          <w:p w:rsidR="00A65940" w:rsidRDefault="00A65940" w:rsidP="00A65940">
            <w:pPr>
              <w:jc w:val="center"/>
              <w:rPr>
                <w:b/>
                <w:sz w:val="16"/>
                <w:szCs w:val="16"/>
              </w:rPr>
            </w:pPr>
            <w:r w:rsidRPr="0015062F">
              <w:rPr>
                <w:b/>
                <w:sz w:val="16"/>
                <w:szCs w:val="16"/>
              </w:rPr>
              <w:t xml:space="preserve">капитального строительства </w:t>
            </w:r>
          </w:p>
          <w:p w:rsidR="00A65940" w:rsidRPr="0015062F" w:rsidRDefault="00A65940" w:rsidP="00A65940">
            <w:pPr>
              <w:jc w:val="center"/>
              <w:rPr>
                <w:sz w:val="16"/>
                <w:szCs w:val="16"/>
              </w:rPr>
            </w:pPr>
            <w:r w:rsidRPr="0015062F">
              <w:rPr>
                <w:b/>
                <w:sz w:val="16"/>
                <w:szCs w:val="16"/>
              </w:rPr>
              <w:t xml:space="preserve">в производственных зонах, </w:t>
            </w:r>
            <w:proofErr w:type="spellStart"/>
            <w:r w:rsidRPr="0015062F">
              <w:rPr>
                <w:b/>
                <w:sz w:val="16"/>
                <w:szCs w:val="16"/>
              </w:rPr>
              <w:t>подзонах</w:t>
            </w:r>
            <w:proofErr w:type="spellEnd"/>
            <w:r w:rsidRPr="0015062F">
              <w:rPr>
                <w:b/>
                <w:sz w:val="16"/>
                <w:szCs w:val="16"/>
              </w:rPr>
              <w:t xml:space="preserve"> производственных зон и зонах инженерной и транспортной инфраструктур.</w:t>
            </w:r>
          </w:p>
          <w:tbl>
            <w:tblPr>
              <w:tblpPr w:leftFromText="180" w:rightFromText="180" w:vertAnchor="text" w:horzAnchor="margin" w:tblpXSpec="center" w:tblpY="81"/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4111"/>
              <w:gridCol w:w="1134"/>
              <w:gridCol w:w="993"/>
              <w:gridCol w:w="1275"/>
              <w:gridCol w:w="993"/>
              <w:gridCol w:w="992"/>
              <w:gridCol w:w="992"/>
            </w:tblGrid>
            <w:tr w:rsidR="00A65940" w:rsidRPr="0015062F" w:rsidTr="00CF2698"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Наименование параметра</w:t>
                  </w:r>
                </w:p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79" w:type="dxa"/>
                  <w:gridSpan w:val="6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      </w:r>
                </w:p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A65940" w:rsidRPr="0015062F" w:rsidTr="00CF2698">
              <w:trPr>
                <w:trHeight w:val="184"/>
              </w:trPr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П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П1-5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П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СЗ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Т</w:t>
                  </w:r>
                </w:p>
                <w:p w:rsidR="00A65940" w:rsidRPr="0015062F" w:rsidRDefault="00A65940" w:rsidP="00A6594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11023" w:type="dxa"/>
                  <w:gridSpan w:val="8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</w:tr>
            <w:tr w:rsidR="00A65940" w:rsidRPr="0015062F" w:rsidTr="00CF2698">
              <w:trPr>
                <w:trHeight w:val="251"/>
              </w:trPr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участка, кв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A65940" w:rsidRPr="0015062F" w:rsidTr="00CF2698">
              <w:trPr>
                <w:trHeight w:val="142"/>
              </w:trPr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земельного участка, кв.м.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CF2698">
              <w:tc>
                <w:tcPr>
                  <w:tcW w:w="4644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Предельное количество этажей или предельная высота зданий, строений и сооружений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A65940" w:rsidRPr="0015062F" w:rsidTr="00CF2698">
              <w:tc>
                <w:tcPr>
                  <w:tcW w:w="4644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до зданий, строений, сооружений,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65940" w:rsidRPr="0015062F" w:rsidTr="00CF2698"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при размещении производственных объектов,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CF2698"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</w:tr>
            <w:tr w:rsidR="00A65940" w:rsidRPr="0015062F" w:rsidTr="00CF2698"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CF2698">
              <w:tc>
                <w:tcPr>
                  <w:tcW w:w="4644" w:type="dxa"/>
                  <w:gridSpan w:val="2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lastRenderedPageBreak/>
                    <w:t>Иные показатели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Максимальный размер санитарно-защитной зоны,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65940" w:rsidRPr="0015062F" w:rsidTr="00CF2698">
              <w:tc>
                <w:tcPr>
                  <w:tcW w:w="53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Максимальная высота капитальных ограждений земельных участков,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A65940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A65940" w:rsidRDefault="00A65940" w:rsidP="00A65940">
            <w:pPr>
              <w:jc w:val="center"/>
              <w:rPr>
                <w:sz w:val="16"/>
                <w:szCs w:val="16"/>
              </w:rPr>
            </w:pPr>
          </w:p>
          <w:p w:rsidR="00A65940" w:rsidRDefault="00A65940" w:rsidP="00A65940">
            <w:pPr>
              <w:jc w:val="center"/>
              <w:rPr>
                <w:sz w:val="16"/>
                <w:szCs w:val="16"/>
              </w:rPr>
            </w:pPr>
          </w:p>
          <w:p w:rsidR="00A65940" w:rsidRDefault="00A65940" w:rsidP="00A65940">
            <w:pPr>
              <w:jc w:val="center"/>
              <w:rPr>
                <w:b/>
                <w:sz w:val="16"/>
                <w:szCs w:val="16"/>
              </w:rPr>
            </w:pPr>
            <w:r w:rsidRPr="0015062F">
              <w:rPr>
                <w:b/>
                <w:sz w:val="16"/>
                <w:szCs w:val="16"/>
              </w:rPr>
              <w:t xml:space="preserve">Статья 54.2. Предельные размеры земельных участков и предельные параметры разрешенного строительства, </w:t>
            </w:r>
          </w:p>
          <w:p w:rsidR="00A65940" w:rsidRPr="0015062F" w:rsidRDefault="00A65940" w:rsidP="00A65940">
            <w:pPr>
              <w:jc w:val="center"/>
              <w:rPr>
                <w:sz w:val="16"/>
                <w:szCs w:val="16"/>
              </w:rPr>
            </w:pPr>
            <w:r w:rsidRPr="0015062F">
              <w:rPr>
                <w:b/>
                <w:sz w:val="16"/>
                <w:szCs w:val="16"/>
              </w:rPr>
              <w:t>реконструкции объектов капитального строительства в зонах сельскохозяйственного использования.</w:t>
            </w:r>
          </w:p>
          <w:p w:rsidR="00A65940" w:rsidRPr="0015062F" w:rsidRDefault="00A65940" w:rsidP="00A6594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4973"/>
              <w:gridCol w:w="992"/>
              <w:gridCol w:w="1276"/>
              <w:gridCol w:w="1276"/>
              <w:gridCol w:w="1559"/>
            </w:tblGrid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Наименование параметра</w:t>
                  </w: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4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      </w: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A65940" w:rsidRPr="0015062F" w:rsidTr="00CF2698">
              <w:trPr>
                <w:trHeight w:val="184"/>
              </w:trPr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Сх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Сх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Сх3</w:t>
                  </w: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Сх2-5</w:t>
                  </w: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7763" w:type="dxa"/>
                  <w:gridSpan w:val="4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</w:tr>
            <w:tr w:rsidR="00A65940" w:rsidRPr="0015062F" w:rsidTr="00CF2698">
              <w:trPr>
                <w:trHeight w:val="251"/>
              </w:trPr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участка, кв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</w:t>
                  </w:r>
                </w:p>
              </w:tc>
            </w:tr>
            <w:tr w:rsidR="00A65940" w:rsidRPr="0015062F" w:rsidTr="00CF2698">
              <w:trPr>
                <w:trHeight w:val="142"/>
              </w:trPr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земельного участка, кв.м.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50000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50000</w:t>
                  </w:r>
                </w:p>
              </w:tc>
            </w:tr>
            <w:tr w:rsidR="00A65940" w:rsidRPr="0015062F" w:rsidTr="00CF2698">
              <w:tc>
                <w:tcPr>
                  <w:tcW w:w="5495" w:type="dxa"/>
                  <w:gridSpan w:val="2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Предельное количество этажей или предельная высота зданий, строений и сооружений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A65940" w:rsidRPr="0015062F" w:rsidTr="00CF2698">
              <w:tc>
                <w:tcPr>
                  <w:tcW w:w="5495" w:type="dxa"/>
                  <w:gridSpan w:val="2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до зданий, строений, сооружений,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lightGray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при размещении производственных объектов,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80</w:t>
                  </w:r>
                </w:p>
              </w:tc>
            </w:tr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60</w:t>
                  </w:r>
                </w:p>
              </w:tc>
            </w:tr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CF2698">
              <w:tc>
                <w:tcPr>
                  <w:tcW w:w="5495" w:type="dxa"/>
                  <w:gridSpan w:val="2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Иные показатели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Максимальный размер санитарно-защитной зоны,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50</w:t>
                  </w:r>
                </w:p>
              </w:tc>
            </w:tr>
            <w:tr w:rsidR="00A65940" w:rsidRPr="0015062F" w:rsidTr="00CF2698">
              <w:tc>
                <w:tcPr>
                  <w:tcW w:w="52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4973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Максимальная высота капитальных ограждений земельных участков,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A65940" w:rsidRDefault="00A65940" w:rsidP="00A65940">
            <w:pPr>
              <w:rPr>
                <w:sz w:val="16"/>
                <w:szCs w:val="16"/>
              </w:rPr>
            </w:pPr>
            <w:r w:rsidRPr="0015062F">
              <w:rPr>
                <w:sz w:val="16"/>
                <w:szCs w:val="16"/>
              </w:rPr>
              <w:t>Минимальная площадь земельного участка для зоны Сх</w:t>
            </w:r>
            <w:proofErr w:type="gramStart"/>
            <w:r w:rsidRPr="0015062F">
              <w:rPr>
                <w:sz w:val="16"/>
                <w:szCs w:val="16"/>
              </w:rPr>
              <w:t>1</w:t>
            </w:r>
            <w:proofErr w:type="gramEnd"/>
            <w:r w:rsidRPr="0015062F">
              <w:rPr>
                <w:sz w:val="16"/>
                <w:szCs w:val="16"/>
              </w:rPr>
              <w:t xml:space="preserve"> «Зона сельскохозяйственных угодий» устанавливается для соответствующих  </w:t>
            </w:r>
          </w:p>
          <w:p w:rsidR="00A65940" w:rsidRPr="0015062F" w:rsidRDefault="00A65940" w:rsidP="00A65940">
            <w:pPr>
              <w:rPr>
                <w:sz w:val="16"/>
                <w:szCs w:val="16"/>
              </w:rPr>
            </w:pPr>
            <w:r w:rsidRPr="0015062F">
              <w:rPr>
                <w:sz w:val="16"/>
                <w:szCs w:val="16"/>
              </w:rPr>
              <w:t>территориальных зон, расположенных в границах населенного пункта.</w:t>
            </w:r>
          </w:p>
          <w:p w:rsidR="00A65940" w:rsidRPr="0015062F" w:rsidRDefault="00A65940" w:rsidP="00A65940">
            <w:pPr>
              <w:rPr>
                <w:sz w:val="16"/>
                <w:szCs w:val="16"/>
              </w:rPr>
            </w:pPr>
            <w:r w:rsidRPr="0015062F">
              <w:rPr>
                <w:sz w:val="16"/>
                <w:szCs w:val="16"/>
              </w:rPr>
              <w:t>В целях применения настоящей статьи прочерк в колонке значения параметра означает, что данный параметр не подлежит установлению.</w:t>
            </w:r>
          </w:p>
          <w:p w:rsidR="00A65940" w:rsidRPr="0015062F" w:rsidRDefault="00A65940" w:rsidP="00A65940">
            <w:pPr>
              <w:rPr>
                <w:sz w:val="16"/>
                <w:szCs w:val="16"/>
              </w:rPr>
            </w:pPr>
          </w:p>
          <w:p w:rsidR="00A65940" w:rsidRPr="0015062F" w:rsidRDefault="00A65940" w:rsidP="00A65940">
            <w:pPr>
              <w:rPr>
                <w:sz w:val="16"/>
                <w:szCs w:val="16"/>
              </w:rPr>
            </w:pPr>
          </w:p>
          <w:p w:rsidR="00A65940" w:rsidRPr="0015062F" w:rsidRDefault="00A65940" w:rsidP="00A65940">
            <w:pPr>
              <w:rPr>
                <w:sz w:val="16"/>
                <w:szCs w:val="16"/>
              </w:rPr>
            </w:pPr>
          </w:p>
          <w:p w:rsidR="00A65940" w:rsidRPr="0015062F" w:rsidRDefault="00A65940" w:rsidP="00A65940">
            <w:pPr>
              <w:rPr>
                <w:sz w:val="16"/>
                <w:szCs w:val="16"/>
              </w:rPr>
            </w:pPr>
          </w:p>
          <w:p w:rsidR="00A65940" w:rsidRPr="0015062F" w:rsidRDefault="00A65940" w:rsidP="00A65940">
            <w:pPr>
              <w:rPr>
                <w:sz w:val="16"/>
                <w:szCs w:val="16"/>
              </w:rPr>
            </w:pPr>
          </w:p>
          <w:p w:rsidR="00A65940" w:rsidRDefault="00A65940" w:rsidP="00A65940">
            <w:pPr>
              <w:jc w:val="center"/>
              <w:rPr>
                <w:b/>
                <w:sz w:val="16"/>
                <w:szCs w:val="16"/>
              </w:rPr>
            </w:pPr>
            <w:r w:rsidRPr="0015062F">
              <w:rPr>
                <w:b/>
                <w:sz w:val="16"/>
                <w:szCs w:val="16"/>
              </w:rPr>
              <w:t xml:space="preserve">Статья 54.3. Предельные размеры земельных участков и предельные параметры разрешенного строительства, </w:t>
            </w:r>
          </w:p>
          <w:p w:rsidR="00A65940" w:rsidRPr="0015062F" w:rsidRDefault="00A65940" w:rsidP="00A65940">
            <w:pPr>
              <w:jc w:val="center"/>
              <w:rPr>
                <w:sz w:val="16"/>
                <w:szCs w:val="16"/>
              </w:rPr>
            </w:pPr>
            <w:r w:rsidRPr="0015062F">
              <w:rPr>
                <w:b/>
                <w:sz w:val="16"/>
                <w:szCs w:val="16"/>
              </w:rPr>
              <w:t>реконструкции объектов капитального строительства в зонах рекреационного значения</w:t>
            </w:r>
          </w:p>
          <w:p w:rsidR="00A65940" w:rsidRPr="0015062F" w:rsidRDefault="00A65940" w:rsidP="00A65940">
            <w:pPr>
              <w:rPr>
                <w:sz w:val="16"/>
                <w:szCs w:val="16"/>
              </w:rPr>
            </w:pPr>
          </w:p>
          <w:p w:rsidR="00A65940" w:rsidRPr="0015062F" w:rsidRDefault="00A65940" w:rsidP="00A65940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5119"/>
              <w:gridCol w:w="1134"/>
              <w:gridCol w:w="1275"/>
              <w:gridCol w:w="1134"/>
              <w:gridCol w:w="1560"/>
            </w:tblGrid>
            <w:tr w:rsidR="00A65940" w:rsidRPr="0015062F" w:rsidTr="00CF2698"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Наименование параметра</w:t>
                  </w: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103" w:type="dxa"/>
                  <w:gridSpan w:val="4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      </w: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A65940" w:rsidRPr="0015062F" w:rsidTr="00CF2698">
              <w:trPr>
                <w:trHeight w:val="184"/>
              </w:trPr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Р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Р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Р3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Р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</w:tr>
            <w:tr w:rsidR="00A65940" w:rsidRPr="0015062F" w:rsidTr="00CF2698">
              <w:tc>
                <w:tcPr>
                  <w:tcW w:w="8046" w:type="dxa"/>
                  <w:gridSpan w:val="4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</w:tr>
            <w:tr w:rsidR="00A65940" w:rsidRPr="0015062F" w:rsidTr="00CF2698">
              <w:trPr>
                <w:trHeight w:val="251"/>
              </w:trPr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участка, кв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3000</w:t>
                  </w:r>
                </w:p>
              </w:tc>
            </w:tr>
            <w:tr w:rsidR="00A65940" w:rsidRPr="0015062F" w:rsidTr="00CF2698">
              <w:trPr>
                <w:trHeight w:val="142"/>
              </w:trPr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земельного участка, кв.м.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65940" w:rsidRPr="0015062F" w:rsidTr="00CF2698">
              <w:tc>
                <w:tcPr>
                  <w:tcW w:w="5637" w:type="dxa"/>
                  <w:gridSpan w:val="2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Предельное количество этажей или предельная высота зданий, строений и сооружений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lightGray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22,5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15</w:t>
                  </w:r>
                </w:p>
              </w:tc>
            </w:tr>
            <w:tr w:rsidR="00A65940" w:rsidRPr="0015062F" w:rsidTr="00CF2698">
              <w:tc>
                <w:tcPr>
                  <w:tcW w:w="5637" w:type="dxa"/>
                  <w:gridSpan w:val="2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до зданий, строений, сооружений,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A65940" w:rsidRPr="0015062F" w:rsidTr="00CF2698"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lightGray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участка,  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A65940" w:rsidRPr="0015062F" w:rsidTr="00CF2698"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Иные показатели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c>
                <w:tcPr>
                  <w:tcW w:w="518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119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объектов физкультуры и спорта открытого типа, кв.м.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10000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12000</w:t>
                  </w:r>
                </w:p>
              </w:tc>
            </w:tr>
            <w:tr w:rsidR="00A65940" w:rsidRPr="0015062F" w:rsidTr="00CF2698">
              <w:tc>
                <w:tcPr>
                  <w:tcW w:w="10740" w:type="dxa"/>
                  <w:gridSpan w:val="6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5940" w:rsidRPr="0015062F" w:rsidRDefault="00A65940" w:rsidP="00A65940">
            <w:pPr>
              <w:rPr>
                <w:sz w:val="16"/>
                <w:szCs w:val="16"/>
              </w:rPr>
            </w:pPr>
            <w:r w:rsidRPr="0015062F">
              <w:rPr>
                <w:sz w:val="16"/>
                <w:szCs w:val="16"/>
              </w:rPr>
              <w:t>Примечание: В целях применения настоящей статьи прочерк в колонке значения параметра означает, что данный параметр не подлежит установлению.</w:t>
            </w:r>
          </w:p>
          <w:p w:rsidR="00A65940" w:rsidRPr="0015062F" w:rsidRDefault="00A65940" w:rsidP="00A65940">
            <w:pPr>
              <w:jc w:val="center"/>
              <w:rPr>
                <w:sz w:val="16"/>
                <w:szCs w:val="16"/>
              </w:rPr>
            </w:pPr>
          </w:p>
          <w:p w:rsidR="00A65940" w:rsidRDefault="00A65940" w:rsidP="00A65940">
            <w:pPr>
              <w:jc w:val="center"/>
              <w:rPr>
                <w:b/>
                <w:sz w:val="16"/>
                <w:szCs w:val="16"/>
              </w:rPr>
            </w:pPr>
            <w:r w:rsidRPr="0015062F">
              <w:rPr>
                <w:b/>
                <w:sz w:val="16"/>
                <w:szCs w:val="16"/>
              </w:rPr>
              <w:t xml:space="preserve">Статья 54.4. Предельные размеры земельных участков и предельные параметры разрешенного строительства, </w:t>
            </w:r>
          </w:p>
          <w:p w:rsidR="00A65940" w:rsidRPr="0015062F" w:rsidRDefault="00A65940" w:rsidP="00A65940">
            <w:pPr>
              <w:jc w:val="center"/>
              <w:rPr>
                <w:sz w:val="16"/>
                <w:szCs w:val="16"/>
              </w:rPr>
            </w:pPr>
            <w:r w:rsidRPr="0015062F">
              <w:rPr>
                <w:b/>
                <w:sz w:val="16"/>
                <w:szCs w:val="16"/>
              </w:rPr>
              <w:t>реконструкции объектов капитального строительства в зонах специального назначения</w:t>
            </w:r>
          </w:p>
          <w:tbl>
            <w:tblPr>
              <w:tblW w:w="9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999"/>
              <w:gridCol w:w="5513"/>
              <w:gridCol w:w="662"/>
              <w:gridCol w:w="236"/>
            </w:tblGrid>
            <w:tr w:rsidR="00A65940" w:rsidRPr="0015062F" w:rsidTr="00CF2698">
              <w:trPr>
                <w:trHeight w:val="575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021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Наименование параметра</w:t>
                  </w: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87" w:type="dxa"/>
                  <w:gridSpan w:val="3"/>
                  <w:tcBorders>
                    <w:bottom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      </w:r>
                </w:p>
              </w:tc>
            </w:tr>
            <w:tr w:rsidR="00A65940" w:rsidRPr="0015062F" w:rsidTr="00CF2698">
              <w:trPr>
                <w:trHeight w:val="192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21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55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062F">
                    <w:rPr>
                      <w:b/>
                      <w:sz w:val="16"/>
                      <w:szCs w:val="16"/>
                    </w:rPr>
                    <w:t>Сп</w:t>
                  </w:r>
                  <w:proofErr w:type="gramStart"/>
                  <w:r w:rsidRPr="0015062F">
                    <w:rPr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168" w:type="dxa"/>
                  <w:tcBorders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rPr>
                <w:trHeight w:val="187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  <w:tc>
                <w:tcPr>
                  <w:tcW w:w="8576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b/>
                      <w:sz w:val="16"/>
                      <w:szCs w:val="16"/>
                      <w:highlight w:val="darkGray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  <w:tc>
                <w:tcPr>
                  <w:tcW w:w="6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  <w:tc>
                <w:tcPr>
                  <w:tcW w:w="168" w:type="dxa"/>
                  <w:tcBorders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darkGray"/>
                    </w:rPr>
                  </w:pPr>
                </w:p>
              </w:tc>
            </w:tr>
            <w:tr w:rsidR="00A65940" w:rsidRPr="0015062F" w:rsidTr="00CF2698">
              <w:trPr>
                <w:trHeight w:val="265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021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Минимальная площадь земельного участка, кв.м.</w:t>
                  </w:r>
                </w:p>
              </w:tc>
              <w:tc>
                <w:tcPr>
                  <w:tcW w:w="5555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8" w:type="dxa"/>
                  <w:tcBorders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rPr>
                <w:trHeight w:val="283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021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Максимальная площадь земельного участка, кв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5555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400000</w:t>
                  </w:r>
                </w:p>
              </w:tc>
              <w:tc>
                <w:tcPr>
                  <w:tcW w:w="168" w:type="dxa"/>
                  <w:tcBorders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rPr>
                <w:trHeight w:val="312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21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Предельное количество этажей или предельная высота зданий, строений и сооружений</w:t>
                  </w:r>
                  <w:r w:rsidRPr="0015062F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55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" w:type="dxa"/>
                  <w:tcBorders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rPr>
                <w:trHeight w:val="187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  3.</w:t>
                  </w:r>
                </w:p>
              </w:tc>
              <w:tc>
                <w:tcPr>
                  <w:tcW w:w="3021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lightGray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Предельная высота зданий, строений, сооружений,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5555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  <w:highlight w:val="lightGray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8" w:type="dxa"/>
                  <w:tcBorders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rPr>
                <w:trHeight w:val="762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21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      </w:r>
                  <w:r w:rsidRPr="0015062F">
                    <w:rPr>
                      <w:sz w:val="16"/>
                      <w:szCs w:val="16"/>
                      <w:highlight w:val="lightGray"/>
                    </w:rPr>
                    <w:lastRenderedPageBreak/>
                    <w:t>запрещено строительство зданий, строений, сооружений</w:t>
                  </w:r>
                  <w:r w:rsidRPr="0015062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555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" w:type="dxa"/>
                  <w:tcBorders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rPr>
                <w:trHeight w:val="376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3021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 xml:space="preserve">Минимальный отступ от границ земельных участков до зданий, строений, сооружения, </w:t>
                  </w:r>
                  <w:proofErr w:type="gramStart"/>
                  <w:r w:rsidRPr="0015062F">
                    <w:rPr>
                      <w:sz w:val="16"/>
                      <w:szCs w:val="16"/>
                    </w:rPr>
                    <w:t>м</w:t>
                  </w:r>
                  <w:proofErr w:type="gramEnd"/>
                </w:p>
              </w:tc>
              <w:tc>
                <w:tcPr>
                  <w:tcW w:w="5555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8" w:type="dxa"/>
                  <w:tcBorders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rPr>
                <w:trHeight w:val="605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21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  <w:highlight w:val="lightGray"/>
                    </w:rPr>
      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      </w:r>
                </w:p>
              </w:tc>
              <w:tc>
                <w:tcPr>
                  <w:tcW w:w="5555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ind w:left="-423" w:hanging="42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65940" w:rsidRPr="0015062F" w:rsidTr="00CF2698">
              <w:trPr>
                <w:trHeight w:val="387"/>
              </w:trPr>
              <w:tc>
                <w:tcPr>
                  <w:tcW w:w="352" w:type="dxa"/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021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Максимальный процент застройки в границах земельного участка, кв.м.</w:t>
                  </w:r>
                </w:p>
              </w:tc>
              <w:tc>
                <w:tcPr>
                  <w:tcW w:w="5555" w:type="dxa"/>
                  <w:tcBorders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  <w:r w:rsidRPr="0015062F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68" w:type="dxa"/>
                  <w:tcBorders>
                    <w:left w:val="nil"/>
                  </w:tcBorders>
                  <w:shd w:val="clear" w:color="auto" w:fill="auto"/>
                </w:tcPr>
                <w:p w:rsidR="00A65940" w:rsidRPr="0015062F" w:rsidRDefault="00A65940" w:rsidP="00CF26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65940" w:rsidRPr="0015062F" w:rsidRDefault="00A65940" w:rsidP="00A65940">
            <w:pPr>
              <w:rPr>
                <w:sz w:val="16"/>
                <w:szCs w:val="16"/>
              </w:rPr>
            </w:pPr>
          </w:p>
          <w:p w:rsidR="002E286C" w:rsidRDefault="002E286C" w:rsidP="00E31E9C">
            <w:pPr>
              <w:rPr>
                <w:sz w:val="14"/>
                <w:szCs w:val="14"/>
              </w:rPr>
            </w:pPr>
          </w:p>
          <w:p w:rsidR="002E286C" w:rsidRPr="00E31E9C" w:rsidRDefault="002E286C" w:rsidP="00E31E9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D9" w:rsidRPr="00860340" w:rsidRDefault="00A31112" w:rsidP="00860340">
            <w:pPr>
              <w:contextualSpacing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    </w:t>
            </w:r>
            <w:r w:rsidR="00716E07" w:rsidRPr="0086034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Белянина Н.В.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1" w:rsidRPr="00860340" w:rsidRDefault="006A1ED1" w:rsidP="00E3234C">
            <w:pPr>
              <w:contextualSpacing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1" w:rsidRPr="00860340" w:rsidRDefault="006A1ED1" w:rsidP="00860340">
            <w:pPr>
              <w:contextualSpacing/>
              <w:rPr>
                <w:sz w:val="14"/>
                <w:szCs w:val="14"/>
              </w:rPr>
            </w:pPr>
          </w:p>
        </w:tc>
      </w:tr>
    </w:tbl>
    <w:p w:rsidR="00860340" w:rsidRDefault="0015118A" w:rsidP="00860340">
      <w:pPr>
        <w:pStyle w:val="a4"/>
        <w:ind w:right="360"/>
        <w:contextualSpacing/>
        <w:jc w:val="both"/>
      </w:pPr>
      <w:r>
        <w:lastRenderedPageBreak/>
        <w:t xml:space="preserve"> </w:t>
      </w:r>
    </w:p>
    <w:p w:rsidR="00860340" w:rsidRDefault="00860340" w:rsidP="00860340">
      <w:pPr>
        <w:pStyle w:val="a4"/>
        <w:ind w:right="360"/>
        <w:contextualSpacing/>
        <w:jc w:val="both"/>
      </w:pPr>
    </w:p>
    <w:p w:rsidR="00860340" w:rsidRDefault="006A1ED1" w:rsidP="00860340">
      <w:pPr>
        <w:pStyle w:val="a4"/>
        <w:ind w:right="360"/>
        <w:contextualSpacing/>
        <w:jc w:val="both"/>
      </w:pPr>
      <w:r w:rsidRPr="00860340">
        <w:t xml:space="preserve">Лицо, ответственное за ведение протокола   ________________   </w:t>
      </w:r>
      <w:proofErr w:type="spellStart"/>
      <w:r w:rsidR="005F7788" w:rsidRPr="00860340">
        <w:t>О.И.Стулкова</w:t>
      </w:r>
      <w:proofErr w:type="spellEnd"/>
    </w:p>
    <w:p w:rsidR="002E286C" w:rsidRDefault="002E286C" w:rsidP="00860340">
      <w:pPr>
        <w:pStyle w:val="a4"/>
        <w:ind w:right="360"/>
        <w:contextualSpacing/>
        <w:jc w:val="both"/>
      </w:pPr>
    </w:p>
    <w:p w:rsidR="002E286C" w:rsidRDefault="002E286C" w:rsidP="00860340">
      <w:pPr>
        <w:pStyle w:val="a4"/>
        <w:ind w:right="360"/>
        <w:contextualSpacing/>
        <w:jc w:val="both"/>
      </w:pPr>
    </w:p>
    <w:p w:rsidR="002E286C" w:rsidRDefault="002E286C" w:rsidP="00860340">
      <w:pPr>
        <w:pStyle w:val="a4"/>
        <w:ind w:right="360"/>
        <w:contextualSpacing/>
        <w:jc w:val="both"/>
      </w:pPr>
    </w:p>
    <w:p w:rsidR="002E286C" w:rsidRDefault="002E286C" w:rsidP="00860340">
      <w:pPr>
        <w:pStyle w:val="a4"/>
        <w:ind w:right="360"/>
        <w:contextualSpacing/>
        <w:jc w:val="both"/>
      </w:pPr>
    </w:p>
    <w:p w:rsidR="002E286C" w:rsidRDefault="002E286C" w:rsidP="00860340">
      <w:pPr>
        <w:pStyle w:val="a4"/>
        <w:ind w:right="360"/>
        <w:contextualSpacing/>
        <w:jc w:val="both"/>
      </w:pPr>
    </w:p>
    <w:p w:rsidR="002E286C" w:rsidRDefault="002E286C" w:rsidP="00860340">
      <w:pPr>
        <w:pStyle w:val="a4"/>
        <w:ind w:right="360"/>
        <w:contextualSpacing/>
        <w:jc w:val="both"/>
      </w:pPr>
    </w:p>
    <w:p w:rsidR="00860340" w:rsidRDefault="00860340" w:rsidP="00860340">
      <w:pPr>
        <w:pStyle w:val="a4"/>
        <w:ind w:right="360"/>
        <w:contextualSpacing/>
        <w:jc w:val="both"/>
      </w:pPr>
    </w:p>
    <w:p w:rsidR="00860340" w:rsidRDefault="00860340" w:rsidP="00860340">
      <w:pPr>
        <w:pStyle w:val="a4"/>
        <w:ind w:right="360"/>
        <w:contextualSpacing/>
        <w:jc w:val="both"/>
      </w:pPr>
    </w:p>
    <w:p w:rsidR="006A1ED1" w:rsidRPr="00860340" w:rsidRDefault="00521DF4" w:rsidP="00860340">
      <w:pPr>
        <w:contextualSpacing/>
      </w:pPr>
      <w:r w:rsidRPr="00860340">
        <w:t xml:space="preserve"> </w:t>
      </w:r>
    </w:p>
    <w:sectPr w:rsidR="006A1ED1" w:rsidRPr="00860340" w:rsidSect="00035E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41" w:rsidRDefault="00376541" w:rsidP="00521DF4">
      <w:r>
        <w:separator/>
      </w:r>
    </w:p>
  </w:endnote>
  <w:endnote w:type="continuationSeparator" w:id="0">
    <w:p w:rsidR="00376541" w:rsidRDefault="00376541" w:rsidP="0052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41" w:rsidRDefault="00376541" w:rsidP="00521DF4">
      <w:r>
        <w:separator/>
      </w:r>
    </w:p>
  </w:footnote>
  <w:footnote w:type="continuationSeparator" w:id="0">
    <w:p w:rsidR="00376541" w:rsidRDefault="00376541" w:rsidP="0052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48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5383"/>
    <w:multiLevelType w:val="hybridMultilevel"/>
    <w:tmpl w:val="3FF0328A"/>
    <w:lvl w:ilvl="0" w:tplc="9B886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B181B"/>
    <w:multiLevelType w:val="hybridMultilevel"/>
    <w:tmpl w:val="01E85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B2359"/>
    <w:multiLevelType w:val="hybridMultilevel"/>
    <w:tmpl w:val="8E887C22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2F58"/>
    <w:multiLevelType w:val="hybridMultilevel"/>
    <w:tmpl w:val="D97ACB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F3A2E"/>
    <w:multiLevelType w:val="hybridMultilevel"/>
    <w:tmpl w:val="F30492A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B3A7B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B7E2D"/>
    <w:multiLevelType w:val="hybridMultilevel"/>
    <w:tmpl w:val="C6FE905E"/>
    <w:lvl w:ilvl="0" w:tplc="D92E77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C5E2A"/>
    <w:multiLevelType w:val="hybridMultilevel"/>
    <w:tmpl w:val="FE8A769E"/>
    <w:lvl w:ilvl="0" w:tplc="EF2879F4">
      <w:start w:val="5"/>
      <w:numFmt w:val="decimal"/>
      <w:lvlText w:val="%1."/>
      <w:lvlJc w:val="left"/>
      <w:pPr>
        <w:ind w:left="720" w:hanging="360"/>
      </w:pPr>
      <w:rPr>
        <w:rFonts w:eastAsia="MS Min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4C37E6"/>
    <w:multiLevelType w:val="hybridMultilevel"/>
    <w:tmpl w:val="620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4B5A7B04"/>
    <w:multiLevelType w:val="hybridMultilevel"/>
    <w:tmpl w:val="42BA4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6C00BA"/>
    <w:multiLevelType w:val="hybridMultilevel"/>
    <w:tmpl w:val="25AC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88F"/>
    <w:multiLevelType w:val="hybridMultilevel"/>
    <w:tmpl w:val="1DEAF68E"/>
    <w:lvl w:ilvl="0" w:tplc="6908E8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15B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3">
    <w:nsid w:val="58B845BF"/>
    <w:multiLevelType w:val="multilevel"/>
    <w:tmpl w:val="955EA1EC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F4558"/>
    <w:multiLevelType w:val="hybridMultilevel"/>
    <w:tmpl w:val="F8D6D488"/>
    <w:lvl w:ilvl="0" w:tplc="B7A00C18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31B18"/>
    <w:multiLevelType w:val="hybridMultilevel"/>
    <w:tmpl w:val="955EA1EC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78475E">
      <w:start w:val="1"/>
      <w:numFmt w:val="decimal"/>
      <w:lvlText w:val="%3)"/>
      <w:lvlJc w:val="left"/>
      <w:pPr>
        <w:ind w:left="2565" w:hanging="5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9">
    <w:nsid w:val="6330060A"/>
    <w:multiLevelType w:val="hybridMultilevel"/>
    <w:tmpl w:val="C4AA2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1178D1"/>
    <w:multiLevelType w:val="hybridMultilevel"/>
    <w:tmpl w:val="70640E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6E751C1"/>
    <w:multiLevelType w:val="hybridMultilevel"/>
    <w:tmpl w:val="39B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F688F"/>
    <w:multiLevelType w:val="hybridMultilevel"/>
    <w:tmpl w:val="242CFED0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6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E4B00"/>
    <w:multiLevelType w:val="hybridMultilevel"/>
    <w:tmpl w:val="FF8AE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5900"/>
    <w:multiLevelType w:val="hybridMultilevel"/>
    <w:tmpl w:val="BDE0D894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44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D4C65"/>
    <w:multiLevelType w:val="hybridMultilevel"/>
    <w:tmpl w:val="86B08AFC"/>
    <w:lvl w:ilvl="0" w:tplc="8E02599E">
      <w:start w:val="1"/>
      <w:numFmt w:val="decimal"/>
      <w:lvlText w:val="%1."/>
      <w:lvlJc w:val="left"/>
      <w:pPr>
        <w:ind w:left="8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0"/>
  </w:num>
  <w:num w:numId="9">
    <w:abstractNumId w:val="27"/>
  </w:num>
  <w:num w:numId="10">
    <w:abstractNumId w:val="39"/>
  </w:num>
  <w:num w:numId="11">
    <w:abstractNumId w:val="24"/>
  </w:num>
  <w:num w:numId="12">
    <w:abstractNumId w:val="32"/>
  </w:num>
  <w:num w:numId="13">
    <w:abstractNumId w:val="25"/>
  </w:num>
  <w:num w:numId="14">
    <w:abstractNumId w:val="28"/>
  </w:num>
  <w:num w:numId="15">
    <w:abstractNumId w:val="12"/>
  </w:num>
  <w:num w:numId="16">
    <w:abstractNumId w:val="5"/>
  </w:num>
  <w:num w:numId="17">
    <w:abstractNumId w:val="38"/>
  </w:num>
  <w:num w:numId="18">
    <w:abstractNumId w:val="22"/>
  </w:num>
  <w:num w:numId="19">
    <w:abstractNumId w:val="11"/>
  </w:num>
  <w:num w:numId="20">
    <w:abstractNumId w:val="21"/>
  </w:num>
  <w:num w:numId="21">
    <w:abstractNumId w:val="14"/>
  </w:num>
  <w:num w:numId="22">
    <w:abstractNumId w:val="33"/>
  </w:num>
  <w:num w:numId="23">
    <w:abstractNumId w:val="31"/>
  </w:num>
  <w:num w:numId="24">
    <w:abstractNumId w:val="18"/>
  </w:num>
  <w:num w:numId="25">
    <w:abstractNumId w:val="6"/>
  </w:num>
  <w:num w:numId="26">
    <w:abstractNumId w:val="0"/>
  </w:num>
  <w:num w:numId="27">
    <w:abstractNumId w:val="3"/>
  </w:num>
  <w:num w:numId="28">
    <w:abstractNumId w:val="26"/>
  </w:num>
  <w:num w:numId="29">
    <w:abstractNumId w:val="4"/>
  </w:num>
  <w:num w:numId="30">
    <w:abstractNumId w:val="29"/>
  </w:num>
  <w:num w:numId="31">
    <w:abstractNumId w:val="37"/>
  </w:num>
  <w:num w:numId="32">
    <w:abstractNumId w:val="30"/>
  </w:num>
  <w:num w:numId="33">
    <w:abstractNumId w:val="35"/>
  </w:num>
  <w:num w:numId="34">
    <w:abstractNumId w:val="19"/>
  </w:num>
  <w:num w:numId="35">
    <w:abstractNumId w:val="13"/>
  </w:num>
  <w:num w:numId="36">
    <w:abstractNumId w:val="23"/>
  </w:num>
  <w:num w:numId="37">
    <w:abstractNumId w:val="16"/>
  </w:num>
  <w:num w:numId="38">
    <w:abstractNumId w:val="2"/>
  </w:num>
  <w:num w:numId="39">
    <w:abstractNumId w:val="34"/>
  </w:num>
  <w:num w:numId="40">
    <w:abstractNumId w:val="4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ED1"/>
    <w:rsid w:val="000177D9"/>
    <w:rsid w:val="00035E8C"/>
    <w:rsid w:val="00070934"/>
    <w:rsid w:val="00072589"/>
    <w:rsid w:val="00087B13"/>
    <w:rsid w:val="0015118A"/>
    <w:rsid w:val="00233F35"/>
    <w:rsid w:val="0027136B"/>
    <w:rsid w:val="0029415F"/>
    <w:rsid w:val="002E286C"/>
    <w:rsid w:val="002E759F"/>
    <w:rsid w:val="0034638B"/>
    <w:rsid w:val="003559FF"/>
    <w:rsid w:val="003735AC"/>
    <w:rsid w:val="00376541"/>
    <w:rsid w:val="003E3EBE"/>
    <w:rsid w:val="004D4057"/>
    <w:rsid w:val="004E689E"/>
    <w:rsid w:val="004E735D"/>
    <w:rsid w:val="00521DF4"/>
    <w:rsid w:val="005C3EB6"/>
    <w:rsid w:val="005E7862"/>
    <w:rsid w:val="005F7788"/>
    <w:rsid w:val="006A1ED1"/>
    <w:rsid w:val="00716E07"/>
    <w:rsid w:val="0077649E"/>
    <w:rsid w:val="00860340"/>
    <w:rsid w:val="008737E1"/>
    <w:rsid w:val="008A4AE9"/>
    <w:rsid w:val="008B4ED7"/>
    <w:rsid w:val="008B744F"/>
    <w:rsid w:val="00900CD3"/>
    <w:rsid w:val="00977AF0"/>
    <w:rsid w:val="00980457"/>
    <w:rsid w:val="00996A69"/>
    <w:rsid w:val="00997C72"/>
    <w:rsid w:val="009C23F9"/>
    <w:rsid w:val="00A31112"/>
    <w:rsid w:val="00A65940"/>
    <w:rsid w:val="00AD555C"/>
    <w:rsid w:val="00AE396C"/>
    <w:rsid w:val="00BC174B"/>
    <w:rsid w:val="00BC3060"/>
    <w:rsid w:val="00BE752C"/>
    <w:rsid w:val="00C10040"/>
    <w:rsid w:val="00C14C08"/>
    <w:rsid w:val="00C37374"/>
    <w:rsid w:val="00CA51EB"/>
    <w:rsid w:val="00CB0B6F"/>
    <w:rsid w:val="00CC7845"/>
    <w:rsid w:val="00CD7ABB"/>
    <w:rsid w:val="00CE7895"/>
    <w:rsid w:val="00D44829"/>
    <w:rsid w:val="00D51072"/>
    <w:rsid w:val="00D5657A"/>
    <w:rsid w:val="00DA136C"/>
    <w:rsid w:val="00DE2891"/>
    <w:rsid w:val="00E30D12"/>
    <w:rsid w:val="00E31E9C"/>
    <w:rsid w:val="00E3234C"/>
    <w:rsid w:val="00ED4703"/>
    <w:rsid w:val="00F73343"/>
    <w:rsid w:val="00FD6C8E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D6C8E"/>
    <w:pPr>
      <w:keepNext/>
      <w:keepLines/>
      <w:numPr>
        <w:numId w:val="8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FD6C8E"/>
    <w:pPr>
      <w:keepNext/>
      <w:keepLines/>
      <w:numPr>
        <w:ilvl w:val="1"/>
        <w:numId w:val="8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FD6C8E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A1ED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A1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unhideWhenUsed/>
    <w:rsid w:val="006A1ED1"/>
    <w:pPr>
      <w:spacing w:after="120"/>
    </w:pPr>
  </w:style>
  <w:style w:type="character" w:customStyle="1" w:styleId="a7">
    <w:name w:val="Основной текст Знак"/>
    <w:basedOn w:val="a1"/>
    <w:link w:val="a6"/>
    <w:semiHidden/>
    <w:rsid w:val="006A1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nhideWhenUsed/>
    <w:rsid w:val="003E3EBE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3E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21D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21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D6C8E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FD6C8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FD6C8E"/>
    <w:rPr>
      <w:rFonts w:ascii="Calibri" w:eastAsia="MS Gothic" w:hAnsi="Calibri" w:cs="Times New Roman"/>
      <w:color w:val="243F60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FD6C8E"/>
  </w:style>
  <w:style w:type="paragraph" w:styleId="ac">
    <w:name w:val="List Paragraph"/>
    <w:basedOn w:val="a0"/>
    <w:uiPriority w:val="34"/>
    <w:qFormat/>
    <w:rsid w:val="00FD6C8E"/>
    <w:pPr>
      <w:spacing w:after="200" w:line="276" w:lineRule="auto"/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110">
    <w:name w:val="Цветной список — акцент 11"/>
    <w:basedOn w:val="a0"/>
    <w:uiPriority w:val="34"/>
    <w:qFormat/>
    <w:rsid w:val="00FD6C8E"/>
    <w:pPr>
      <w:ind w:left="720"/>
      <w:contextualSpacing/>
    </w:pPr>
    <w:rPr>
      <w:rFonts w:ascii="Cambria" w:eastAsia="MS Mincho" w:hAnsi="Cambria"/>
    </w:rPr>
  </w:style>
  <w:style w:type="paragraph" w:styleId="ad">
    <w:name w:val="Balloon Text"/>
    <w:basedOn w:val="a0"/>
    <w:link w:val="ae"/>
    <w:uiPriority w:val="99"/>
    <w:semiHidden/>
    <w:unhideWhenUsed/>
    <w:rsid w:val="00FD6C8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rsid w:val="00FD6C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D6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FD6C8E"/>
  </w:style>
  <w:style w:type="paragraph" w:styleId="af">
    <w:name w:val="Document Map"/>
    <w:basedOn w:val="a0"/>
    <w:link w:val="af0"/>
    <w:uiPriority w:val="99"/>
    <w:semiHidden/>
    <w:unhideWhenUsed/>
    <w:rsid w:val="00FD6C8E"/>
    <w:rPr>
      <w:rFonts w:ascii="Lucida Grande CY" w:eastAsia="MS Mincho" w:hAnsi="Lucida Grande CY"/>
      <w:sz w:val="20"/>
      <w:szCs w:val="20"/>
      <w:lang w:eastAsia="en-US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FD6C8E"/>
    <w:rPr>
      <w:rFonts w:ascii="Lucida Grande CY" w:eastAsia="MS Mincho" w:hAnsi="Lucida Grande CY" w:cs="Times New Roman"/>
      <w:sz w:val="20"/>
      <w:szCs w:val="20"/>
    </w:rPr>
  </w:style>
  <w:style w:type="paragraph" w:customStyle="1" w:styleId="af1">
    <w:name w:val="Основной стиль"/>
    <w:basedOn w:val="a0"/>
    <w:link w:val="af2"/>
    <w:uiPriority w:val="99"/>
    <w:rsid w:val="00FD6C8E"/>
    <w:pPr>
      <w:ind w:firstLine="680"/>
      <w:jc w:val="both"/>
    </w:pPr>
    <w:rPr>
      <w:rFonts w:ascii="Arial" w:eastAsia="MS ??" w:hAnsi="Arial"/>
      <w:sz w:val="20"/>
      <w:szCs w:val="28"/>
      <w:lang w:eastAsia="en-US"/>
    </w:rPr>
  </w:style>
  <w:style w:type="character" w:customStyle="1" w:styleId="af2">
    <w:name w:val="Основной стиль Знак"/>
    <w:link w:val="af1"/>
    <w:uiPriority w:val="99"/>
    <w:locked/>
    <w:rsid w:val="00FD6C8E"/>
    <w:rPr>
      <w:rFonts w:ascii="Arial" w:eastAsia="MS ??" w:hAnsi="Arial" w:cs="Times New Roman"/>
      <w:sz w:val="20"/>
      <w:szCs w:val="28"/>
    </w:rPr>
  </w:style>
  <w:style w:type="character" w:styleId="af3">
    <w:name w:val="annotation reference"/>
    <w:uiPriority w:val="99"/>
    <w:rsid w:val="00FD6C8E"/>
    <w:rPr>
      <w:rFonts w:cs="Times New Roman"/>
      <w:sz w:val="16"/>
    </w:rPr>
  </w:style>
  <w:style w:type="paragraph" w:styleId="af4">
    <w:name w:val="annotation text"/>
    <w:basedOn w:val="a0"/>
    <w:link w:val="af5"/>
    <w:uiPriority w:val="99"/>
    <w:rsid w:val="00FD6C8E"/>
    <w:rPr>
      <w:rFonts w:eastAsia="MS ??"/>
      <w:sz w:val="20"/>
      <w:szCs w:val="20"/>
      <w:lang w:eastAsia="en-US"/>
    </w:rPr>
  </w:style>
  <w:style w:type="character" w:customStyle="1" w:styleId="af5">
    <w:name w:val="Текст примечания Знак"/>
    <w:basedOn w:val="a1"/>
    <w:link w:val="af4"/>
    <w:uiPriority w:val="99"/>
    <w:rsid w:val="00FD6C8E"/>
    <w:rPr>
      <w:rFonts w:ascii="Times New Roman" w:eastAsia="MS ??" w:hAnsi="Times New Roman" w:cs="Times New Roman"/>
      <w:sz w:val="20"/>
      <w:szCs w:val="20"/>
    </w:rPr>
  </w:style>
  <w:style w:type="character" w:styleId="af6">
    <w:name w:val="Hyperlink"/>
    <w:uiPriority w:val="99"/>
    <w:rsid w:val="00FD6C8E"/>
    <w:rPr>
      <w:rFonts w:cs="Times New Roman"/>
      <w:color w:val="0000FF"/>
      <w:u w:val="single"/>
    </w:rPr>
  </w:style>
  <w:style w:type="paragraph" w:customStyle="1" w:styleId="af7">
    <w:name w:val="Стиль глав правил"/>
    <w:basedOn w:val="a0"/>
    <w:uiPriority w:val="99"/>
    <w:rsid w:val="00FD6C8E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FD6C8E"/>
    <w:pPr>
      <w:numPr>
        <w:numId w:val="12"/>
      </w:numPr>
    </w:pPr>
  </w:style>
  <w:style w:type="paragraph" w:customStyle="1" w:styleId="a">
    <w:name w:val="ВидыДеятельности"/>
    <w:basedOn w:val="a0"/>
    <w:uiPriority w:val="99"/>
    <w:rsid w:val="00FD6C8E"/>
    <w:pPr>
      <w:numPr>
        <w:numId w:val="14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8">
    <w:name w:val="Table Grid"/>
    <w:basedOn w:val="a2"/>
    <w:uiPriority w:val="59"/>
    <w:rsid w:val="00FD6C8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тиль названия"/>
    <w:basedOn w:val="a0"/>
    <w:uiPriority w:val="99"/>
    <w:rsid w:val="00FD6C8E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character" w:styleId="afa">
    <w:name w:val="page number"/>
    <w:uiPriority w:val="99"/>
    <w:semiHidden/>
    <w:unhideWhenUsed/>
    <w:rsid w:val="00FD6C8E"/>
  </w:style>
  <w:style w:type="paragraph" w:styleId="afb">
    <w:name w:val="annotation subject"/>
    <w:basedOn w:val="af4"/>
    <w:next w:val="af4"/>
    <w:link w:val="afc"/>
    <w:uiPriority w:val="99"/>
    <w:semiHidden/>
    <w:unhideWhenUsed/>
    <w:rsid w:val="00FD6C8E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FD6C8E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0"/>
    <w:qFormat/>
    <w:rsid w:val="00FD6C8E"/>
    <w:pPr>
      <w:widowControl w:val="0"/>
      <w:autoSpaceDE w:val="0"/>
      <w:autoSpaceDN w:val="0"/>
      <w:adjustRightInd w:val="0"/>
      <w:ind w:left="720"/>
    </w:pPr>
    <w:rPr>
      <w:rFonts w:eastAsia="MS ??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FD6C8E"/>
    <w:pPr>
      <w:ind w:left="720"/>
      <w:contextualSpacing/>
    </w:pPr>
    <w:rPr>
      <w:rFonts w:ascii="Cambria" w:eastAsia="MS Mincho" w:hAnsi="Cambria"/>
    </w:rPr>
  </w:style>
  <w:style w:type="paragraph" w:styleId="afd">
    <w:name w:val="Normal (Web)"/>
    <w:basedOn w:val="a0"/>
    <w:uiPriority w:val="99"/>
    <w:unhideWhenUsed/>
    <w:rsid w:val="00FD6C8E"/>
    <w:pPr>
      <w:spacing w:before="100" w:beforeAutospacing="1" w:after="100" w:afterAutospacing="1"/>
    </w:pPr>
  </w:style>
  <w:style w:type="character" w:customStyle="1" w:styleId="w">
    <w:name w:val="w"/>
    <w:rsid w:val="00FD6C8E"/>
  </w:style>
  <w:style w:type="character" w:customStyle="1" w:styleId="apple-converted-space">
    <w:name w:val="apple-converted-space"/>
    <w:rsid w:val="00FD6C8E"/>
  </w:style>
  <w:style w:type="numbering" w:customStyle="1" w:styleId="21">
    <w:name w:val="Нет списка2"/>
    <w:next w:val="a3"/>
    <w:uiPriority w:val="99"/>
    <w:semiHidden/>
    <w:unhideWhenUsed/>
    <w:rsid w:val="00FD6C8E"/>
  </w:style>
  <w:style w:type="numbering" w:customStyle="1" w:styleId="1111111">
    <w:name w:val="1 / 1.1 / 1.1.11"/>
    <w:basedOn w:val="a3"/>
    <w:next w:val="111111"/>
    <w:uiPriority w:val="99"/>
    <w:semiHidden/>
    <w:unhideWhenUsed/>
    <w:rsid w:val="00FD6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BA482-9D64-4A2C-A486-1317353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Латышева</cp:lastModifiedBy>
  <cp:revision>14</cp:revision>
  <cp:lastPrinted>2016-08-05T10:24:00Z</cp:lastPrinted>
  <dcterms:created xsi:type="dcterms:W3CDTF">2016-02-01T06:56:00Z</dcterms:created>
  <dcterms:modified xsi:type="dcterms:W3CDTF">2016-10-31T18:15:00Z</dcterms:modified>
</cp:coreProperties>
</file>