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ПРОЕКТ</w:t>
      </w:r>
    </w:p>
    <w:p w:rsid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</w:t>
      </w: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САМАРСКАЯ ОБЛАСТЬ</w:t>
      </w: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8770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Сызранский</w:t>
      </w: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УСИНСКОЕ </w:t>
      </w: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Второго Созыва</w:t>
      </w: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877043" w:rsidRPr="00877043" w:rsidRDefault="00B01CD5" w:rsidP="00877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___________</w:t>
      </w:r>
      <w:r w:rsidR="00877043" w:rsidRPr="0087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2015г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____</w:t>
      </w:r>
      <w:r w:rsidR="00877043" w:rsidRPr="0087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 бюджета сельского поселения Усинское </w:t>
      </w:r>
    </w:p>
    <w:p w:rsidR="00877043" w:rsidRPr="00877043" w:rsidRDefault="00877043" w:rsidP="0087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7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87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2014 год.</w:t>
      </w: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7043" w:rsidRPr="00877043" w:rsidRDefault="00877043" w:rsidP="0087704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</w:t>
      </w:r>
      <w:proofErr w:type="gramStart"/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</w:t>
      </w:r>
      <w:proofErr w:type="gramEnd"/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</w:t>
      </w:r>
    </w:p>
    <w:p w:rsidR="00877043" w:rsidRPr="00877043" w:rsidRDefault="00877043" w:rsidP="0087704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Усинское  отчет об исполнении бюджета сельского поселения Усинское  за                                       2014 год, Собрание представителей сельского поселения Усинское,</w:t>
      </w:r>
    </w:p>
    <w:p w:rsidR="00877043" w:rsidRPr="00877043" w:rsidRDefault="00877043" w:rsidP="008770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77043" w:rsidRPr="00877043" w:rsidRDefault="00877043" w:rsidP="00877043">
      <w:pPr>
        <w:tabs>
          <w:tab w:val="left" w:pos="709"/>
        </w:tabs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 бюджета сельского поселения Усинское  за   2014 год по доходам в сумме 11323290,70 и расходам в сумме 9269802,01 рублей  с превышением доходов над расходами в сумме 2053488,69 рублей.</w:t>
      </w:r>
    </w:p>
    <w:p w:rsidR="00877043" w:rsidRPr="00877043" w:rsidRDefault="00877043" w:rsidP="00877043">
      <w:pPr>
        <w:numPr>
          <w:ilvl w:val="0"/>
          <w:numId w:val="2"/>
        </w:numPr>
        <w:tabs>
          <w:tab w:val="num" w:pos="426"/>
          <w:tab w:val="left" w:pos="709"/>
        </w:tabs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следующие показатели отчета за   2014г. </w:t>
      </w:r>
    </w:p>
    <w:p w:rsidR="00877043" w:rsidRPr="00877043" w:rsidRDefault="00877043" w:rsidP="0087704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доходы  бюджета сельского поселения Усинское    2014 года по кодам классификации доходов бюджетов согласно приложению № 1 к настоящему Решению; </w:t>
      </w:r>
    </w:p>
    <w:p w:rsidR="00877043" w:rsidRPr="00877043" w:rsidRDefault="00877043" w:rsidP="0087704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доходы бюджета сельского поселения Усинское за   2014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877043" w:rsidRPr="00877043" w:rsidRDefault="00877043" w:rsidP="00877043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бюджета сельского поселения Усинское за   2014 год по ведомственной структуре расходов бюджета района согласно приложению № 3 к настоящему Решению; </w:t>
      </w: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расходы бюджета сельского поселения Усинское  за    2014 год по разделам и подразделам классификации расходов бюджетов согласно приложению № 4 к настоящему Решению; </w:t>
      </w: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 дефицита бюджета сельского поселения Усинское  за   2014 год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 согласно  приложению № 5 к настоящему Решению;    </w:t>
      </w: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данное Решение в газете «</w:t>
      </w:r>
      <w:proofErr w:type="spellStart"/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Усинское </w:t>
      </w: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Н.А. Логинов </w:t>
      </w: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4"/>
        <w:gridCol w:w="2460"/>
        <w:gridCol w:w="378"/>
        <w:gridCol w:w="1510"/>
        <w:gridCol w:w="1322"/>
        <w:gridCol w:w="1135"/>
      </w:tblGrid>
      <w:tr w:rsidR="00877043" w:rsidRPr="00877043" w:rsidTr="00F84F2A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</w:p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0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ельского поселения Усинское  № __</w:t>
            </w:r>
          </w:p>
          <w:p w:rsidR="00877043" w:rsidRPr="00877043" w:rsidRDefault="00B01CD5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</w:t>
            </w:r>
            <w:r w:rsidR="00877043"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г. </w:t>
            </w:r>
          </w:p>
        </w:tc>
      </w:tr>
      <w:tr w:rsidR="00877043" w:rsidRPr="00877043" w:rsidTr="00F84F2A">
        <w:tc>
          <w:tcPr>
            <w:tcW w:w="9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 xml:space="preserve">Доходы  бюджета сельского поселения Усинское за   2014 год по кодам </w:t>
            </w:r>
          </w:p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классификации доходов бюджетов.</w:t>
            </w:r>
            <w:r w:rsidRPr="00877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7043" w:rsidRPr="00877043" w:rsidTr="00F84F2A">
        <w:trPr>
          <w:trHeight w:val="2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Годовой план, руб.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Исполнено,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360" w:lineRule="auto"/>
              <w:ind w:right="-1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%исполнения</w:t>
            </w: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Федеральная налоговая служба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5472739,56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3315524,82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60,5</w:t>
            </w:r>
          </w:p>
        </w:tc>
      </w:tr>
      <w:tr w:rsidR="00877043" w:rsidRPr="00877043" w:rsidTr="00F84F2A">
        <w:trPr>
          <w:trHeight w:val="11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10302230010000110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784685,29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537241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68,4</w:t>
            </w:r>
          </w:p>
        </w:tc>
      </w:tr>
      <w:tr w:rsidR="00877043" w:rsidRPr="00877043" w:rsidTr="00F84F2A">
        <w:trPr>
          <w:trHeight w:val="20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10302240010000110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инжекторных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двигателей, зачисляемые в консолидированные бюджеты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12809,33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12101,45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94,4</w:t>
            </w:r>
          </w:p>
        </w:tc>
      </w:tr>
      <w:tr w:rsidR="00877043" w:rsidRPr="00877043" w:rsidTr="00F84F2A">
        <w:trPr>
          <w:trHeight w:val="16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10302250010000110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автомобильный бензин, производимый на территории РФ, зачисляемые в консолидированные бюджеты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1057838,24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920355,78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114,9</w:t>
            </w:r>
          </w:p>
        </w:tc>
      </w:tr>
      <w:tr w:rsidR="00877043" w:rsidRPr="00877043" w:rsidTr="00F84F2A">
        <w:trPr>
          <w:trHeight w:val="18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10302260010000110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49724,70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-46230,83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92,9</w:t>
            </w: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1 01 02021 01 0000 110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облагаемых по налоговой ставке, уст. 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224 НК РФ, за исключением доходов, полученных физическими лицами, зарегистрированными в качестве индивидуальных предпринимателей, </w:t>
            </w: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частных нотариусов и других лиц, занимающихся частной практикой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1200000,00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766871,30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3272,00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3272,00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77043" w:rsidRPr="00877043" w:rsidTr="00F84F2A">
        <w:trPr>
          <w:trHeight w:val="16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1060103010000110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631000,00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98271,44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877043" w:rsidRPr="00877043" w:rsidTr="00F84F2A">
        <w:trPr>
          <w:trHeight w:val="21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10606013100000110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1345000,00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887022,30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</w:tr>
      <w:tr w:rsidR="00877043" w:rsidRPr="00877043" w:rsidTr="00F84F2A">
        <w:trPr>
          <w:trHeight w:val="8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10606023100000110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89023,12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Усинское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5513530,71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2714942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49,24</w:t>
            </w: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10804020010000110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38460,00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38460,00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100,00</w:t>
            </w: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20201001100000151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1165330,00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1165330,00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  <w:p w:rsidR="00877043" w:rsidRPr="00877043" w:rsidRDefault="00877043" w:rsidP="00877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20203015100000151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</w:t>
            </w: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168200,00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168200,00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20201003100000151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235642,00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235642,00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20202999100000151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2103803,71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1274400,00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60,5</w:t>
            </w: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20204999100000151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1800555,00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504755,00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26,84</w:t>
            </w:r>
          </w:p>
        </w:tc>
      </w:tr>
      <w:tr w:rsidR="00877043" w:rsidRPr="00877043" w:rsidTr="00F84F2A">
        <w:trPr>
          <w:trHeight w:val="6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708</w:t>
            </w:r>
          </w:p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Сызранского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1503449,35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1512471,60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11105013100000120</w:t>
            </w: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1475013,57</w:t>
            </w: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1486274,82</w:t>
            </w: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унитарных предприятий, в том числе казенных)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3259,00</w:t>
            </w: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1020,00</w:t>
            </w: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31,29</w:t>
            </w:r>
          </w:p>
          <w:p w:rsidR="00877043" w:rsidRPr="00877043" w:rsidRDefault="00877043" w:rsidP="008770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11406013100000430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165261,08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165261,08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877043" w:rsidRPr="00877043" w:rsidTr="00F84F2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11105035100000120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25176,78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25176,78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</w:tbl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  <w:bookmarkStart w:id="0" w:name="RANGE!A1:U40"/>
      <w:bookmarkEnd w:id="0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546"/>
        <w:gridCol w:w="1277"/>
        <w:gridCol w:w="1418"/>
        <w:gridCol w:w="994"/>
      </w:tblGrid>
      <w:tr w:rsidR="00877043" w:rsidRPr="00877043" w:rsidTr="00F84F2A">
        <w:trPr>
          <w:trHeight w:val="255"/>
        </w:trPr>
        <w:tc>
          <w:tcPr>
            <w:tcW w:w="2410" w:type="dxa"/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30" w:type="dxa"/>
            <w:gridSpan w:val="4"/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Приложение №2</w:t>
            </w:r>
          </w:p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к Решению Собрания представителей</w:t>
            </w:r>
          </w:p>
          <w:p w:rsidR="00877043" w:rsidRPr="00877043" w:rsidRDefault="00B01CD5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Усинское №___</w:t>
            </w:r>
          </w:p>
          <w:p w:rsidR="00877043" w:rsidRPr="00877043" w:rsidRDefault="00B01CD5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от___________</w:t>
            </w:r>
            <w:r w:rsidR="00877043"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877043" w:rsidRPr="00877043" w:rsidTr="00F84F2A">
        <w:trPr>
          <w:trHeight w:val="375"/>
        </w:trPr>
        <w:tc>
          <w:tcPr>
            <w:tcW w:w="9640" w:type="dxa"/>
            <w:gridSpan w:val="5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Доходов  бюджета сельского поселения Усинское за   2014 год по кодам </w:t>
            </w:r>
          </w:p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доходов, подвидов доходов, классификаций операций сектора государственного управления, относящихся к доходам бюджета.</w:t>
            </w:r>
          </w:p>
        </w:tc>
      </w:tr>
      <w:tr w:rsidR="00877043" w:rsidRPr="00877043" w:rsidTr="00F84F2A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Коды вида (группы,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подгруппы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,с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татьи,под</w:t>
            </w:r>
            <w:proofErr w:type="spellEnd"/>
          </w:p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источника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Годовой план,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Исполнено,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испол</w:t>
            </w:r>
            <w:proofErr w:type="spellEnd"/>
          </w:p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Cs/>
                <w:lang w:eastAsia="ru-RU"/>
              </w:rPr>
              <w:t>нения</w:t>
            </w:r>
          </w:p>
        </w:tc>
      </w:tr>
      <w:tr w:rsidR="00877043" w:rsidRPr="00877043" w:rsidTr="00F84F2A">
        <w:trPr>
          <w:trHeight w:val="117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7043" w:rsidRPr="00877043" w:rsidTr="00F84F2A">
        <w:trPr>
          <w:trHeight w:val="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704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704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776010,04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59,6 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1200000,00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766871,30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3270,85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1060000000000000000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2226000,00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1074316,86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48,2 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10601030100000110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631000,00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98271,44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10606013100000110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1345000,00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887022,30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65,9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10606023100000110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val="en-US" w:eastAsia="ru-RU"/>
              </w:rPr>
              <w:t>89023.12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704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10804020010000110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38460,00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38460, 00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10300000000000000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товар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ы(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1905057,56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1423467,47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74,7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10302230010000110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784685,29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537241,07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10302240010000110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маторные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масла для дизельных и (или) карбюраторных (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инжекторных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двигателей, зачисляемые в консолидированные бюджеты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12809,33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12101,45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10302250010000110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автомобильный бензин, производимый на территории РФ, зачисляемые в консолидированные бюджеты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1057838,24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920355,78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10302260010000110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49724,70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-46230,83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</w:tr>
      <w:tr w:rsidR="00877043" w:rsidRPr="00877043" w:rsidTr="00F84F2A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1503449,35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1512471,60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100,5</w:t>
            </w:r>
          </w:p>
        </w:tc>
      </w:tr>
      <w:tr w:rsidR="00877043" w:rsidRPr="00877043" w:rsidTr="00F84F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11105013100000120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1475013,57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1486274,82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877043" w:rsidRPr="00877043" w:rsidTr="00F84F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МУП,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31,29</w:t>
            </w:r>
          </w:p>
        </w:tc>
      </w:tr>
      <w:tr w:rsidR="00877043" w:rsidRPr="00877043" w:rsidTr="00F84F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11406013100000430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31,29</w:t>
            </w:r>
          </w:p>
        </w:tc>
      </w:tr>
      <w:tr w:rsidR="00877043" w:rsidRPr="00877043" w:rsidTr="00F84F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11105035100000120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25176,78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25176,78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877043" w:rsidRPr="00877043" w:rsidTr="00F84F2A">
        <w:trPr>
          <w:trHeight w:val="5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4181790,71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2843572,00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67,9 </w:t>
            </w:r>
          </w:p>
        </w:tc>
      </w:tr>
      <w:tr w:rsidR="00877043" w:rsidRPr="00877043" w:rsidTr="00F84F2A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уровня бюджетной обеспеченности.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1165330,00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1165330,00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2 02 01001 05 0000 151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1165330,00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1165330,00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168200,00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168200,00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1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2 02 030151 0 0000 151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168200,00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168200,00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20201003100000151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1165330,00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1165330,00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20201003100000151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235642,00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235642,00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2612618,71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1274400,00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48,7</w:t>
            </w: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77043" w:rsidRPr="00877043" w:rsidTr="00F84F2A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20202999100000151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2612618,71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1274400,00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48,7</w:t>
            </w:r>
          </w:p>
        </w:tc>
      </w:tr>
      <w:tr w:rsidR="00877043" w:rsidRPr="00877043" w:rsidTr="00F84F2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11323290,70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7836829,90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lang w:eastAsia="ru-RU"/>
              </w:rPr>
              <w:t>69,2</w:t>
            </w:r>
          </w:p>
        </w:tc>
      </w:tr>
    </w:tbl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42"/>
        <w:tblW w:w="9780" w:type="dxa"/>
        <w:tblLayout w:type="fixed"/>
        <w:tblLook w:val="04A0" w:firstRow="1" w:lastRow="0" w:firstColumn="1" w:lastColumn="0" w:noHBand="0" w:noVBand="1"/>
      </w:tblPr>
      <w:tblGrid>
        <w:gridCol w:w="906"/>
        <w:gridCol w:w="2487"/>
        <w:gridCol w:w="436"/>
        <w:gridCol w:w="485"/>
        <w:gridCol w:w="317"/>
        <w:gridCol w:w="755"/>
        <w:gridCol w:w="231"/>
        <w:gridCol w:w="546"/>
        <w:gridCol w:w="1299"/>
        <w:gridCol w:w="1468"/>
        <w:gridCol w:w="850"/>
      </w:tblGrid>
      <w:tr w:rsidR="00877043" w:rsidRPr="00877043" w:rsidTr="00F84F2A">
        <w:trPr>
          <w:trHeight w:val="255"/>
        </w:trPr>
        <w:tc>
          <w:tcPr>
            <w:tcW w:w="90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4"/>
            <w:noWrap/>
            <w:vAlign w:val="bottom"/>
            <w:hideMark/>
          </w:tcPr>
          <w:p w:rsidR="00877043" w:rsidRPr="00877043" w:rsidRDefault="00B01CD5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____</w:t>
            </w:r>
          </w:p>
        </w:tc>
      </w:tr>
      <w:tr w:rsidR="00877043" w:rsidRPr="00877043" w:rsidTr="00F84F2A">
        <w:trPr>
          <w:trHeight w:val="255"/>
        </w:trPr>
        <w:tc>
          <w:tcPr>
            <w:tcW w:w="90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4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877043" w:rsidRPr="00877043" w:rsidTr="00F84F2A">
        <w:trPr>
          <w:trHeight w:val="255"/>
        </w:trPr>
        <w:tc>
          <w:tcPr>
            <w:tcW w:w="90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4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Усинское </w:t>
            </w:r>
          </w:p>
        </w:tc>
      </w:tr>
      <w:tr w:rsidR="00877043" w:rsidRPr="00877043" w:rsidTr="00F84F2A">
        <w:trPr>
          <w:trHeight w:val="255"/>
        </w:trPr>
        <w:tc>
          <w:tcPr>
            <w:tcW w:w="90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4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B0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иципального района </w:t>
            </w:r>
            <w:proofErr w:type="spellStart"/>
            <w:r w:rsidR="00B0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="00B0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№___</w:t>
            </w:r>
          </w:p>
          <w:p w:rsidR="00877043" w:rsidRPr="00877043" w:rsidRDefault="00B01CD5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</w:t>
            </w:r>
            <w:r w:rsidR="00877043"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2015 г. </w:t>
            </w:r>
          </w:p>
        </w:tc>
      </w:tr>
      <w:tr w:rsidR="00877043" w:rsidRPr="00877043" w:rsidTr="00F84F2A">
        <w:trPr>
          <w:trHeight w:val="255"/>
        </w:trPr>
        <w:tc>
          <w:tcPr>
            <w:tcW w:w="90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3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930"/>
        </w:trPr>
        <w:tc>
          <w:tcPr>
            <w:tcW w:w="9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сельского поселения Усинское муниципального района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12 месяцев 2014 год по ведомственной структуре расходов бюджета сельского поселения Усинское </w:t>
            </w:r>
          </w:p>
        </w:tc>
      </w:tr>
      <w:tr w:rsidR="00877043" w:rsidRPr="00877043" w:rsidTr="00F84F2A">
        <w:trPr>
          <w:trHeight w:val="118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Код ГРБС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средств бюджета, расходов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план, рублей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Исполнено,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877043" w:rsidRPr="00877043" w:rsidTr="00F84F2A">
        <w:trPr>
          <w:trHeight w:val="57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2544222,00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2445669,11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96,1</w:t>
            </w:r>
          </w:p>
        </w:tc>
      </w:tr>
      <w:tr w:rsidR="00877043" w:rsidRPr="00877043" w:rsidTr="00F84F2A">
        <w:trPr>
          <w:trHeight w:val="151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523276,10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523276,10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877043" w:rsidRPr="00877043" w:rsidTr="00F84F2A">
        <w:trPr>
          <w:trHeight w:val="54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523276,10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523276,10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877043" w:rsidRPr="00877043" w:rsidTr="00F84F2A">
        <w:trPr>
          <w:trHeight w:val="8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 523276,100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523276,10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877043" w:rsidRPr="00877043" w:rsidTr="00F84F2A">
        <w:trPr>
          <w:trHeight w:val="144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Администрация сельского поселения Усинское  муниципального района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Сызранский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182409,90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1732357,01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95</w:t>
            </w:r>
          </w:p>
        </w:tc>
      </w:tr>
      <w:tr w:rsidR="00877043" w:rsidRPr="00877043" w:rsidTr="00F84F2A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1822409,90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1732357,01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877043" w:rsidRPr="00877043" w:rsidTr="00F84F2A">
        <w:trPr>
          <w:trHeight w:val="237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1822409,90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173257,01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877043" w:rsidRPr="00877043" w:rsidTr="00F84F2A">
        <w:trPr>
          <w:trHeight w:val="96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18222409,90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173257,01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</w:p>
        </w:tc>
      </w:tr>
      <w:tr w:rsidR="00877043" w:rsidRPr="00877043" w:rsidTr="00F84F2A">
        <w:trPr>
          <w:trHeight w:val="49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441652,26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33820,23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877043" w:rsidRPr="00877043" w:rsidTr="00F84F2A">
        <w:trPr>
          <w:trHeight w:val="69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441652,26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33820,23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877043" w:rsidRPr="00877043" w:rsidTr="00F84F2A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2544222,0000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2445669,11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96,1</w:t>
            </w:r>
          </w:p>
        </w:tc>
      </w:tr>
      <w:tr w:rsidR="00877043" w:rsidRPr="00877043" w:rsidTr="00F84F2A">
        <w:trPr>
          <w:trHeight w:val="57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0920300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2544222,00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2445669,11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877043" w:rsidRPr="00877043" w:rsidTr="00F84F2A">
        <w:trPr>
          <w:trHeight w:val="88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0920300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2544222,00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2445669,11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877043" w:rsidRPr="00877043" w:rsidTr="00F84F2A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168200,00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168200,00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168200,00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168200,00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148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8990000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168200,00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168200,00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88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8995118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168200,00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168200,00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2562370,46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 1338170,06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52,2</w:t>
            </w:r>
          </w:p>
        </w:tc>
      </w:tr>
      <w:tr w:rsidR="00877043" w:rsidRPr="00877043" w:rsidTr="00F84F2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хозяйство и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рыбаловство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122000,00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890067,72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877043" w:rsidRPr="00877043" w:rsidTr="00F84F2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5207900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122000,00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89067,72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877043" w:rsidRPr="00877043" w:rsidTr="00F84F2A">
        <w:trPr>
          <w:trHeight w:val="151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кроме государственных учреждений) и физическим лицам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5207900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122000,00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89067,72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877043" w:rsidRPr="00877043" w:rsidTr="00F84F2A">
        <w:trPr>
          <w:trHeight w:val="103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Дорожное хозяйств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о(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2440370,46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1249102,34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51 </w:t>
            </w:r>
          </w:p>
        </w:tc>
      </w:tr>
      <w:tr w:rsidR="00877043" w:rsidRPr="00877043" w:rsidTr="00F84F2A">
        <w:trPr>
          <w:trHeight w:val="177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"Модернизация и развитие автомобильных дорог общего пользования"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7510000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535312,9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7043" w:rsidRPr="00877043" w:rsidTr="00F84F2A">
        <w:trPr>
          <w:trHeight w:val="52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российских кредитных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3500000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226885,08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219564,00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</w:tr>
      <w:tr w:rsidR="00877043" w:rsidRPr="00877043" w:rsidTr="00F84F2A">
        <w:trPr>
          <w:trHeight w:val="72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3500100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226885,08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219564,00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</w:tr>
      <w:tr w:rsidR="00877043" w:rsidRPr="00877043" w:rsidTr="00F84F2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802652,26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148823,80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 18,5</w:t>
            </w:r>
          </w:p>
        </w:tc>
      </w:tr>
      <w:tr w:rsidR="00877043" w:rsidRPr="00877043" w:rsidTr="00F84F2A">
        <w:trPr>
          <w:trHeight w:val="124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товаров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абот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7530000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38820,23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38820,23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7530000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523276,10</w:t>
            </w: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523276,10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877043" w:rsidRPr="00877043" w:rsidTr="00F84F2A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1204537,32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786183,54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65,2</w:t>
            </w:r>
          </w:p>
        </w:tc>
      </w:tr>
      <w:tr w:rsidR="00877043" w:rsidRPr="00877043" w:rsidTr="00F84F2A">
        <w:trPr>
          <w:trHeight w:val="33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120696,65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75696,65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62,71 </w:t>
            </w:r>
          </w:p>
        </w:tc>
      </w:tr>
      <w:tr w:rsidR="00877043" w:rsidRPr="00877043" w:rsidTr="00F84F2A">
        <w:trPr>
          <w:trHeight w:val="61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105696,65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105696,65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877043" w:rsidRPr="00877043" w:rsidTr="00F84F2A">
        <w:trPr>
          <w:trHeight w:val="123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6000200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70000,00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68577,10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97,96</w:t>
            </w:r>
          </w:p>
        </w:tc>
      </w:tr>
      <w:tr w:rsidR="00877043" w:rsidRPr="00877043" w:rsidTr="00F84F2A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6000200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22848,16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21705,66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94,9  </w:t>
            </w:r>
          </w:p>
        </w:tc>
      </w:tr>
      <w:tr w:rsidR="00877043" w:rsidRPr="00877043" w:rsidTr="00F84F2A">
        <w:trPr>
          <w:trHeight w:val="12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17978,40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17978,40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</w:p>
        </w:tc>
      </w:tr>
      <w:tr w:rsidR="00877043" w:rsidRPr="00877043" w:rsidTr="00F84F2A">
        <w:trPr>
          <w:trHeight w:val="102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22848,16</w:t>
            </w: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 </w:t>
            </w: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21705,600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877043" w:rsidRPr="00877043" w:rsidTr="00F84F2A">
        <w:trPr>
          <w:trHeight w:val="91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6090404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4869,76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3727,26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</w:tr>
      <w:tr w:rsidR="00877043" w:rsidRPr="00877043" w:rsidTr="00F84F2A">
        <w:trPr>
          <w:trHeight w:val="99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6090404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4869,76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3727,26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</w:tr>
      <w:tr w:rsidR="00877043" w:rsidRPr="00877043" w:rsidTr="00F84F2A">
        <w:trPr>
          <w:trHeight w:val="69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Культура и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4400000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849677,29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849677,29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69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592007,49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592007,49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9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592007,49</w:t>
            </w: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 </w:t>
            </w: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592007,49  </w:t>
            </w: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877043" w:rsidRPr="00877043" w:rsidTr="00F84F2A">
        <w:trPr>
          <w:trHeight w:val="52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4900000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509186,00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305268,49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59,95</w:t>
            </w:r>
          </w:p>
        </w:tc>
      </w:tr>
      <w:tr w:rsidR="00877043" w:rsidRPr="00877043" w:rsidTr="00F84F2A">
        <w:trPr>
          <w:trHeight w:val="9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4910100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509186,00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305268,49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59,95 </w:t>
            </w:r>
          </w:p>
        </w:tc>
      </w:tr>
      <w:tr w:rsidR="00877043" w:rsidRPr="00877043" w:rsidTr="00F84F2A">
        <w:trPr>
          <w:trHeight w:val="9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4910100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 xml:space="preserve"> 509186,00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 xml:space="preserve">305268,49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59,95 </w:t>
            </w:r>
          </w:p>
        </w:tc>
      </w:tr>
      <w:tr w:rsidR="00877043" w:rsidRPr="00877043" w:rsidTr="00F84F2A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1880555,00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504755,00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26,84</w:t>
            </w:r>
          </w:p>
        </w:tc>
      </w:tr>
      <w:tr w:rsidR="00877043" w:rsidRPr="00877043" w:rsidTr="00F84F2A">
        <w:trPr>
          <w:trHeight w:val="58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1880555,00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color w:val="333399"/>
                <w:lang w:eastAsia="ru-RU"/>
              </w:rPr>
              <w:t>504755,00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26,84</w:t>
            </w:r>
          </w:p>
        </w:tc>
      </w:tr>
      <w:tr w:rsidR="00877043" w:rsidRPr="00877043" w:rsidTr="00F84F2A">
        <w:trPr>
          <w:trHeight w:val="20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5210602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46328,00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57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5210602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46328,00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</w:p>
        </w:tc>
      </w:tr>
      <w:tr w:rsidR="00877043" w:rsidRPr="00877043" w:rsidTr="00F84F2A">
        <w:trPr>
          <w:trHeight w:val="84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5210603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57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5210603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36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9269802,01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6844733,95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</w:t>
            </w:r>
          </w:p>
        </w:tc>
      </w:tr>
      <w:tr w:rsidR="00877043" w:rsidRPr="00877043" w:rsidTr="00F84F2A">
        <w:trPr>
          <w:trHeight w:val="300"/>
        </w:trPr>
        <w:tc>
          <w:tcPr>
            <w:tcW w:w="90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817"/>
        <w:tblW w:w="9345" w:type="dxa"/>
        <w:tblLayout w:type="fixed"/>
        <w:tblLook w:val="04A0" w:firstRow="1" w:lastRow="0" w:firstColumn="1" w:lastColumn="0" w:noHBand="0" w:noVBand="1"/>
      </w:tblPr>
      <w:tblGrid>
        <w:gridCol w:w="725"/>
        <w:gridCol w:w="15"/>
        <w:gridCol w:w="2621"/>
        <w:gridCol w:w="436"/>
        <w:gridCol w:w="485"/>
        <w:gridCol w:w="1401"/>
        <w:gridCol w:w="1707"/>
        <w:gridCol w:w="995"/>
        <w:gridCol w:w="700"/>
        <w:gridCol w:w="6"/>
        <w:gridCol w:w="254"/>
      </w:tblGrid>
      <w:tr w:rsidR="00877043" w:rsidRPr="00877043" w:rsidTr="00F84F2A">
        <w:trPr>
          <w:trHeight w:val="255"/>
        </w:trPr>
        <w:tc>
          <w:tcPr>
            <w:tcW w:w="740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3" w:type="dxa"/>
            <w:gridSpan w:val="3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255"/>
        </w:trPr>
        <w:tc>
          <w:tcPr>
            <w:tcW w:w="740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gridSpan w:val="6"/>
            <w:noWrap/>
            <w:vAlign w:val="bottom"/>
            <w:hideMark/>
          </w:tcPr>
          <w:p w:rsidR="00877043" w:rsidRPr="00877043" w:rsidRDefault="00B01CD5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___</w:t>
            </w:r>
          </w:p>
        </w:tc>
      </w:tr>
      <w:tr w:rsidR="00877043" w:rsidRPr="00877043" w:rsidTr="00F84F2A">
        <w:trPr>
          <w:trHeight w:val="255"/>
        </w:trPr>
        <w:tc>
          <w:tcPr>
            <w:tcW w:w="740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gridSpan w:val="6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877043" w:rsidRPr="00877043" w:rsidTr="00F84F2A">
        <w:trPr>
          <w:trHeight w:val="255"/>
        </w:trPr>
        <w:tc>
          <w:tcPr>
            <w:tcW w:w="740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gridSpan w:val="6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Усинское </w:t>
            </w:r>
          </w:p>
        </w:tc>
      </w:tr>
      <w:tr w:rsidR="00877043" w:rsidRPr="00877043" w:rsidTr="00F84F2A">
        <w:trPr>
          <w:trHeight w:val="255"/>
        </w:trPr>
        <w:tc>
          <w:tcPr>
            <w:tcW w:w="740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gridSpan w:val="6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B0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района </w:t>
            </w:r>
            <w:proofErr w:type="spellStart"/>
            <w:r w:rsidR="00B0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="00B01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№__</w:t>
            </w:r>
          </w:p>
          <w:p w:rsidR="00877043" w:rsidRPr="00877043" w:rsidRDefault="00B01CD5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</w:t>
            </w:r>
            <w:r w:rsidR="00877043" w:rsidRPr="0087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г. </w:t>
            </w:r>
          </w:p>
        </w:tc>
      </w:tr>
      <w:tr w:rsidR="00877043" w:rsidRPr="00877043" w:rsidTr="00F84F2A">
        <w:trPr>
          <w:trHeight w:val="255"/>
        </w:trPr>
        <w:tc>
          <w:tcPr>
            <w:tcW w:w="740" w:type="dxa"/>
            <w:gridSpan w:val="2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gridSpan w:val="6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930"/>
        </w:trPr>
        <w:tc>
          <w:tcPr>
            <w:tcW w:w="9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сельского поселения Усинское  муниципального района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  2014 год по разделам и подразделам классификации расходов бюджета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11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Код ГРБС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одраздела</w:t>
            </w:r>
            <w:proofErr w:type="spellEnd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классификации расходов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план, рублей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Исполнено, рублей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2544222,00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2445669,11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</w:t>
            </w:r>
          </w:p>
        </w:tc>
        <w:tc>
          <w:tcPr>
            <w:tcW w:w="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gridAfter w:val="1"/>
          <w:wAfter w:w="254" w:type="dxa"/>
          <w:trHeight w:val="151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523276,10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523276,10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7043" w:rsidRPr="00877043" w:rsidTr="00F84F2A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523276,10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523276,10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85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523276,10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523276,10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2101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1822409,90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1732357,01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1822409,90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1732357,01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91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1822409,90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1732357,01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58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802652,26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148823,80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69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7321,08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69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7321,08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8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197436,00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143736,00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72,80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5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197437,00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143736,00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72,80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88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197437,00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143736,00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72,80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42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148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2562370,46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1338170,06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66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хозяйство и </w:t>
            </w:r>
            <w:proofErr w:type="spell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рыбаловство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122000,00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89067,72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73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86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122000,00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89067,72 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73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9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о(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2440370,46</w:t>
            </w: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1249102,34</w:t>
            </w: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67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1880555,00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504755,00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26,84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226885,08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118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российских кредитных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226885,08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96,77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91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226885,08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96,77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33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802652,26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148823,80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88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1905057,56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3,24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88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226885,08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96,77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1204537,32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787183,54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226885,08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226885,08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219564,09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4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509186,00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305268,49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59,95</w:t>
            </w:r>
          </w:p>
        </w:tc>
        <w:tc>
          <w:tcPr>
            <w:tcW w:w="254" w:type="dxa"/>
            <w:vMerge w:val="restart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509186,00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305268,49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59,95</w:t>
            </w:r>
          </w:p>
        </w:tc>
        <w:tc>
          <w:tcPr>
            <w:tcW w:w="254" w:type="dxa"/>
            <w:vMerge/>
            <w:noWrap/>
            <w:vAlign w:val="bottom"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55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846328,00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846328,00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5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846328,00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846328,00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93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846328,00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846328,00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8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6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8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46328,00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46328,00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3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2053488,69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992095,95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254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</w:t>
      </w: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                                                                               </w:t>
      </w: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01C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____</w:t>
      </w:r>
    </w:p>
    <w:p w:rsidR="00877043" w:rsidRPr="00877043" w:rsidRDefault="00877043" w:rsidP="00877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04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877043" w:rsidRPr="00877043" w:rsidRDefault="00877043" w:rsidP="00877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Усинское</w:t>
      </w:r>
    </w:p>
    <w:p w:rsidR="00877043" w:rsidRPr="00877043" w:rsidRDefault="00877043" w:rsidP="00877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77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877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7043" w:rsidRPr="00877043" w:rsidRDefault="00B01CD5" w:rsidP="00877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 2015 г. №___</w:t>
      </w:r>
      <w:bookmarkStart w:id="1" w:name="_GoBack"/>
      <w:bookmarkEnd w:id="1"/>
      <w:r w:rsidR="00877043" w:rsidRPr="00877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693"/>
        <w:gridCol w:w="1418"/>
        <w:gridCol w:w="1559"/>
        <w:gridCol w:w="992"/>
      </w:tblGrid>
      <w:tr w:rsidR="00877043" w:rsidRPr="00877043" w:rsidTr="00F84F2A">
        <w:trPr>
          <w:gridAfter w:val="1"/>
          <w:wAfter w:w="992" w:type="dxa"/>
          <w:trHeight w:val="1875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сельского </w:t>
            </w:r>
          </w:p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Усинское  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 год по кодам классификации источников финансирования дефицитов бюджетов, по кодам групп, подгрупп, статей, видов 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877043" w:rsidRPr="00877043" w:rsidTr="00F84F2A">
        <w:trPr>
          <w:trHeight w:val="1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статьи, вида источника финансирования дефицитов бюджетов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план,                                 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Исполнено,                         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877043" w:rsidRPr="00877043" w:rsidTr="00F84F2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</w:tr>
      <w:tr w:rsidR="00877043" w:rsidRPr="00877043" w:rsidTr="00F84F2A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 средств на счетах по учету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-2053488,69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-992095,95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48,3</w:t>
            </w:r>
          </w:p>
        </w:tc>
      </w:tr>
      <w:tr w:rsidR="00877043" w:rsidRPr="00877043" w:rsidTr="00F84F2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-11932390,70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-7927633,20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70</w:t>
            </w:r>
          </w:p>
        </w:tc>
      </w:tr>
      <w:tr w:rsidR="00877043" w:rsidRPr="00877043" w:rsidTr="00F84F2A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11932390,70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-7927633,20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70</w:t>
            </w:r>
          </w:p>
        </w:tc>
      </w:tr>
      <w:tr w:rsidR="00877043" w:rsidRPr="00877043" w:rsidTr="00F84F2A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01 05 01 00 00 0000 600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 9269802,01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6935537,25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</w:tr>
      <w:tr w:rsidR="00877043" w:rsidRPr="00877043" w:rsidTr="00F84F2A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01 05 01 01 10 0000 610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9269802,01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 xml:space="preserve">6935537,25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043">
              <w:rPr>
                <w:rFonts w:ascii="Times New Roman" w:eastAsia="Times New Roman" w:hAnsi="Times New Roman" w:cs="Times New Roman"/>
                <w:lang w:eastAsia="ru-RU"/>
              </w:rPr>
              <w:t> 74,8</w:t>
            </w:r>
          </w:p>
        </w:tc>
      </w:tr>
      <w:tr w:rsidR="00877043" w:rsidRPr="00877043" w:rsidTr="00F84F2A">
        <w:trPr>
          <w:trHeight w:val="375"/>
        </w:trPr>
        <w:tc>
          <w:tcPr>
            <w:tcW w:w="85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375"/>
        </w:trPr>
        <w:tc>
          <w:tcPr>
            <w:tcW w:w="85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375"/>
        </w:trPr>
        <w:tc>
          <w:tcPr>
            <w:tcW w:w="85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375"/>
        </w:trPr>
        <w:tc>
          <w:tcPr>
            <w:tcW w:w="85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043" w:rsidRPr="00877043" w:rsidTr="00F84F2A">
        <w:trPr>
          <w:trHeight w:val="375"/>
        </w:trPr>
        <w:tc>
          <w:tcPr>
            <w:tcW w:w="851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7043" w:rsidRPr="00877043" w:rsidRDefault="00877043" w:rsidP="0087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43" w:rsidRPr="00877043" w:rsidRDefault="00877043" w:rsidP="0087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6"/>
    <w:rsid w:val="00011921"/>
    <w:rsid w:val="00065F89"/>
    <w:rsid w:val="000B0C49"/>
    <w:rsid w:val="00130962"/>
    <w:rsid w:val="00247DE8"/>
    <w:rsid w:val="002D7C86"/>
    <w:rsid w:val="0038503E"/>
    <w:rsid w:val="003B513E"/>
    <w:rsid w:val="003F2B0D"/>
    <w:rsid w:val="00444D66"/>
    <w:rsid w:val="004757B6"/>
    <w:rsid w:val="004D0198"/>
    <w:rsid w:val="004D1678"/>
    <w:rsid w:val="00574387"/>
    <w:rsid w:val="00603748"/>
    <w:rsid w:val="00604F06"/>
    <w:rsid w:val="00606A0E"/>
    <w:rsid w:val="00620FD6"/>
    <w:rsid w:val="006E46E2"/>
    <w:rsid w:val="007135C3"/>
    <w:rsid w:val="0079228E"/>
    <w:rsid w:val="007A09D0"/>
    <w:rsid w:val="007F0A7A"/>
    <w:rsid w:val="00851B2F"/>
    <w:rsid w:val="00877043"/>
    <w:rsid w:val="008D2710"/>
    <w:rsid w:val="0095563A"/>
    <w:rsid w:val="009E6BE4"/>
    <w:rsid w:val="00AA6D26"/>
    <w:rsid w:val="00AB1E66"/>
    <w:rsid w:val="00B01CD5"/>
    <w:rsid w:val="00B97526"/>
    <w:rsid w:val="00BA375D"/>
    <w:rsid w:val="00C379C4"/>
    <w:rsid w:val="00CC25E0"/>
    <w:rsid w:val="00CF6905"/>
    <w:rsid w:val="00D421C9"/>
    <w:rsid w:val="00DA7CC0"/>
    <w:rsid w:val="00DC2B95"/>
    <w:rsid w:val="00E01907"/>
    <w:rsid w:val="00F154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7043"/>
  </w:style>
  <w:style w:type="character" w:styleId="a3">
    <w:name w:val="Hyperlink"/>
    <w:semiHidden/>
    <w:unhideWhenUsed/>
    <w:rsid w:val="00877043"/>
    <w:rPr>
      <w:color w:val="0000FF"/>
      <w:u w:val="single"/>
    </w:rPr>
  </w:style>
  <w:style w:type="character" w:styleId="a4">
    <w:name w:val="FollowedHyperlink"/>
    <w:semiHidden/>
    <w:unhideWhenUsed/>
    <w:rsid w:val="00877043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877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77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770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77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877043"/>
    <w:pPr>
      <w:spacing w:after="0" w:line="240" w:lineRule="auto"/>
      <w:ind w:firstLine="100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7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770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7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8770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770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770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7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770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770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770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70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770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770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7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7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7043"/>
  </w:style>
  <w:style w:type="character" w:styleId="a3">
    <w:name w:val="Hyperlink"/>
    <w:semiHidden/>
    <w:unhideWhenUsed/>
    <w:rsid w:val="00877043"/>
    <w:rPr>
      <w:color w:val="0000FF"/>
      <w:u w:val="single"/>
    </w:rPr>
  </w:style>
  <w:style w:type="character" w:styleId="a4">
    <w:name w:val="FollowedHyperlink"/>
    <w:semiHidden/>
    <w:unhideWhenUsed/>
    <w:rsid w:val="00877043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877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77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770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77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877043"/>
    <w:pPr>
      <w:spacing w:after="0" w:line="240" w:lineRule="auto"/>
      <w:ind w:firstLine="100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7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770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7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8770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770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770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7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770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770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770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70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770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770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7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77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7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3331</Words>
  <Characters>18987</Characters>
  <Application>Microsoft Office Word</Application>
  <DocSecurity>0</DocSecurity>
  <Lines>158</Lines>
  <Paragraphs>44</Paragraphs>
  <ScaleCrop>false</ScaleCrop>
  <Company/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2015-08-05T09:16:00Z</dcterms:created>
  <dcterms:modified xsi:type="dcterms:W3CDTF">2015-08-05T09:40:00Z</dcterms:modified>
</cp:coreProperties>
</file>