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70F16" w:rsidRDefault="0037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370F16" w:rsidP="00370F16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13.03.2020                                                              №52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FE74CF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="00FE74CF">
        <w:rPr>
          <w:rFonts w:ascii="Times New Roman" w:eastAsia="Times New Roman" w:hAnsi="Times New Roman" w:cs="Times New Roman"/>
          <w:b/>
          <w:sz w:val="28"/>
        </w:rPr>
        <w:t xml:space="preserve">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 w:rsidR="00B1505E">
        <w:rPr>
          <w:rFonts w:ascii="Times New Roman" w:eastAsia="Times New Roman" w:hAnsi="Times New Roman" w:cs="Times New Roman"/>
          <w:sz w:val="28"/>
        </w:rPr>
        <w:t xml:space="preserve">Печерский </w:t>
      </w:r>
      <w:r w:rsidR="008E3C71">
        <w:rPr>
          <w:rFonts w:ascii="Times New Roman" w:eastAsia="Times New Roman" w:hAnsi="Times New Roman" w:cs="Times New Roman"/>
          <w:sz w:val="28"/>
        </w:rPr>
        <w:t>Вестник 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1505E">
        <w:rPr>
          <w:rFonts w:ascii="Times New Roman" w:eastAsia="Times New Roman" w:hAnsi="Times New Roman" w:cs="Times New Roman"/>
          <w:sz w:val="28"/>
        </w:rPr>
        <w:t>В.А.Щербаков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1505E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370F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 13.03.2020 №52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382182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B1505E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</w:t>
      </w:r>
      <w:r w:rsidR="00B1505E">
        <w:rPr>
          <w:rFonts w:ascii="Times New Roman" w:eastAsia="Times New Roman" w:hAnsi="Times New Roman" w:cs="Times New Roman"/>
          <w:sz w:val="28"/>
        </w:rPr>
        <w:t xml:space="preserve">кая область, </w:t>
      </w:r>
      <w:proofErr w:type="spellStart"/>
      <w:r w:rsidR="00B1505E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B1505E">
        <w:rPr>
          <w:rFonts w:ascii="Times New Roman" w:eastAsia="Times New Roman" w:hAnsi="Times New Roman" w:cs="Times New Roman"/>
          <w:sz w:val="28"/>
        </w:rPr>
        <w:t xml:space="preserve"> район, с. Печерское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B1505E">
        <w:rPr>
          <w:rFonts w:ascii="Times New Roman" w:eastAsia="Times New Roman" w:hAnsi="Times New Roman" w:cs="Times New Roman"/>
          <w:sz w:val="28"/>
        </w:rPr>
        <w:t>Советская,68</w:t>
      </w:r>
    </w:p>
    <w:p w:rsidR="008E3C71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B1505E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Самарская область, 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район, </w:t>
      </w:r>
      <w:r w:rsidR="00B1505E">
        <w:rPr>
          <w:rFonts w:ascii="Times New Roman" w:eastAsia="Times New Roman" w:hAnsi="Times New Roman" w:cs="Times New Roman"/>
          <w:sz w:val="28"/>
        </w:rPr>
        <w:t>с. Печерское, ул. Советская,68</w:t>
      </w:r>
    </w:p>
    <w:p w:rsidR="005A2400" w:rsidRPr="000B127D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pecherskoe</w:t>
      </w:r>
      <w:proofErr w:type="spellEnd"/>
      <w:r w:rsidR="00F96D5B" w:rsidRPr="00F96D5B">
        <w:rPr>
          <w:rFonts w:ascii="Times New Roman" w:hAnsi="Times New Roman" w:cs="Times New Roman"/>
          <w:sz w:val="28"/>
          <w:szCs w:val="28"/>
        </w:rPr>
        <w:t>@</w:t>
      </w:r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96D5B" w:rsidRPr="00F96D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D5B">
        <w:t xml:space="preserve">                            </w:t>
      </w:r>
      <w:r w:rsidR="00F96D5B">
        <w:rPr>
          <w:b/>
        </w:rPr>
        <w:t xml:space="preserve">  </w:t>
      </w:r>
      <w:r w:rsidR="00F96D5B">
        <w:rPr>
          <w:b/>
          <w:szCs w:val="28"/>
        </w:rPr>
        <w:t xml:space="preserve">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F96D5B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B84D1A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области:</w:t>
      </w:r>
    </w:p>
    <w:p w:rsidR="00B84D1A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</w:t>
      </w:r>
      <w:proofErr w:type="spellStart"/>
      <w:r w:rsidRPr="00A94534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A94534">
        <w:rPr>
          <w:rFonts w:ascii="Times New Roman" w:eastAsia="Times New Roman" w:hAnsi="Times New Roman" w:cs="Times New Roman"/>
          <w:sz w:val="28"/>
        </w:rPr>
        <w:t xml:space="preserve">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1505E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370F16">
      <w:pPr>
        <w:spacing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1505E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505E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370F1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370F1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 для предоставления муниципальной услуги, у заявителя;</w:t>
      </w:r>
    </w:p>
    <w:p w:rsid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Сызранский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370F16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431CFC" w:rsidRPr="00E827E3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Приложение 2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pStyle w:val="Style6"/>
        <w:spacing w:before="53" w:line="240" w:lineRule="auto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72E8" wp14:editId="3B98019A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</w:p>
    <w:p w:rsidR="00431CFC" w:rsidRDefault="00D22A0A" w:rsidP="00370F16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24A2F" wp14:editId="0E64D3BB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370F16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370F16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370F16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43" w:rsidRDefault="000E3343" w:rsidP="00FE74CF">
      <w:pPr>
        <w:spacing w:after="0" w:line="240" w:lineRule="auto"/>
      </w:pPr>
      <w:r>
        <w:separator/>
      </w:r>
    </w:p>
  </w:endnote>
  <w:endnote w:type="continuationSeparator" w:id="0">
    <w:p w:rsidR="000E3343" w:rsidRDefault="000E3343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6" w:rsidRDefault="00EC2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6" w:rsidRDefault="00EC2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6" w:rsidRDefault="00EC2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43" w:rsidRDefault="000E3343" w:rsidP="00FE74CF">
      <w:pPr>
        <w:spacing w:after="0" w:line="240" w:lineRule="auto"/>
      </w:pPr>
      <w:r>
        <w:separator/>
      </w:r>
    </w:p>
  </w:footnote>
  <w:footnote w:type="continuationSeparator" w:id="0">
    <w:p w:rsidR="000E3343" w:rsidRDefault="000E3343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6" w:rsidRDefault="00EC2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Pr="00550742" w:rsidRDefault="00382182" w:rsidP="00550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6" w:rsidRDefault="00EC2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47826"/>
    <w:rsid w:val="00070750"/>
    <w:rsid w:val="000B127D"/>
    <w:rsid w:val="000E3343"/>
    <w:rsid w:val="000F2FFC"/>
    <w:rsid w:val="00107D85"/>
    <w:rsid w:val="001E1FBD"/>
    <w:rsid w:val="001F1055"/>
    <w:rsid w:val="001F40BD"/>
    <w:rsid w:val="00283C1D"/>
    <w:rsid w:val="002900CC"/>
    <w:rsid w:val="00311E2D"/>
    <w:rsid w:val="00345BA4"/>
    <w:rsid w:val="00346C3A"/>
    <w:rsid w:val="00370EFE"/>
    <w:rsid w:val="00370F16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50742"/>
    <w:rsid w:val="005A2400"/>
    <w:rsid w:val="006271E9"/>
    <w:rsid w:val="007208E6"/>
    <w:rsid w:val="007C3E6D"/>
    <w:rsid w:val="007C4567"/>
    <w:rsid w:val="007C6A1A"/>
    <w:rsid w:val="0080062C"/>
    <w:rsid w:val="00886846"/>
    <w:rsid w:val="008E3C71"/>
    <w:rsid w:val="008E6709"/>
    <w:rsid w:val="008F7781"/>
    <w:rsid w:val="009C4D3A"/>
    <w:rsid w:val="00A01E9F"/>
    <w:rsid w:val="00A72B68"/>
    <w:rsid w:val="00A94534"/>
    <w:rsid w:val="00AB2E70"/>
    <w:rsid w:val="00B131D5"/>
    <w:rsid w:val="00B1459A"/>
    <w:rsid w:val="00B1505E"/>
    <w:rsid w:val="00B17DB0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DE0D28"/>
    <w:rsid w:val="00E25594"/>
    <w:rsid w:val="00E827E3"/>
    <w:rsid w:val="00EC22D6"/>
    <w:rsid w:val="00F33721"/>
    <w:rsid w:val="00F429DC"/>
    <w:rsid w:val="00F5612D"/>
    <w:rsid w:val="00F62547"/>
    <w:rsid w:val="00F96D5B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7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7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36</cp:revision>
  <cp:lastPrinted>2020-03-13T07:46:00Z</cp:lastPrinted>
  <dcterms:created xsi:type="dcterms:W3CDTF">2020-02-20T12:11:00Z</dcterms:created>
  <dcterms:modified xsi:type="dcterms:W3CDTF">2020-03-13T08:07:00Z</dcterms:modified>
</cp:coreProperties>
</file>