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 w:rsidP="00DD3CC8"/>
    <w:p w:rsidR="00D37BA4" w:rsidRDefault="00D37BA4" w:rsidP="00D37BA4">
      <w:pPr>
        <w:jc w:val="right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ПРОЕКТ</w:t>
      </w:r>
    </w:p>
    <w:p w:rsidR="00AA1241" w:rsidRDefault="00AA1241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A1241" w:rsidRDefault="00E62C04" w:rsidP="00AA124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ЗАБОРОВКА</w:t>
      </w:r>
    </w:p>
    <w:p w:rsidR="00AA1241" w:rsidRPr="00135BD5" w:rsidRDefault="00AA1241" w:rsidP="00AA1241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AA1241" w:rsidRDefault="00AA1241" w:rsidP="00AA1241">
      <w:pPr>
        <w:jc w:val="center"/>
        <w:rPr>
          <w:b/>
          <w:caps/>
          <w:sz w:val="20"/>
          <w:szCs w:val="20"/>
        </w:rPr>
      </w:pPr>
    </w:p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="00E62C04">
        <w:t xml:space="preserve"> 2016</w:t>
      </w:r>
      <w:r w:rsidRPr="003D185A">
        <w:t>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D37BA4" w:rsidRDefault="006172F9" w:rsidP="00AA1241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</w:t>
      </w:r>
      <w:proofErr w:type="gramStart"/>
      <w:r w:rsidR="002F441F">
        <w:rPr>
          <w:sz w:val="28"/>
        </w:rPr>
        <w:t xml:space="preserve">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D37BA4">
        <w:rPr>
          <w:spacing w:val="5"/>
          <w:sz w:val="28"/>
          <w:szCs w:val="28"/>
        </w:rPr>
        <w:t>Ус</w:t>
      </w:r>
      <w:r w:rsidR="00D37BA4" w:rsidRPr="00D37BA4">
        <w:rPr>
          <w:spacing w:val="5"/>
          <w:sz w:val="28"/>
          <w:szCs w:val="28"/>
        </w:rPr>
        <w:t>тавом сельского поселения Заборовка</w:t>
      </w:r>
      <w:r w:rsidR="00AA1241" w:rsidRPr="00D37BA4">
        <w:rPr>
          <w:spacing w:val="5"/>
          <w:sz w:val="28"/>
          <w:szCs w:val="28"/>
        </w:rPr>
        <w:t xml:space="preserve"> </w:t>
      </w:r>
      <w:r w:rsidR="00AA1241" w:rsidRPr="00D37BA4">
        <w:rPr>
          <w:spacing w:val="14"/>
          <w:sz w:val="28"/>
          <w:szCs w:val="28"/>
        </w:rPr>
        <w:t>муниципального района Сызранский,</w:t>
      </w:r>
      <w:r w:rsidR="00AA1241" w:rsidRPr="00D37BA4">
        <w:rPr>
          <w:sz w:val="28"/>
          <w:szCs w:val="28"/>
        </w:rPr>
        <w:t xml:space="preserve"> принятым решением Собрания представи</w:t>
      </w:r>
      <w:r w:rsidR="00D37BA4" w:rsidRPr="00D37BA4">
        <w:rPr>
          <w:sz w:val="28"/>
          <w:szCs w:val="28"/>
        </w:rPr>
        <w:t>телей сельского поселения Заборовка</w:t>
      </w:r>
      <w:r w:rsidR="00AA1241" w:rsidRPr="00D37BA4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D37BA4" w:rsidRPr="00D37BA4">
        <w:rPr>
          <w:sz w:val="28"/>
          <w:szCs w:val="28"/>
        </w:rPr>
        <w:t>8</w:t>
      </w:r>
      <w:r w:rsidR="00AA1241" w:rsidRPr="00D37BA4">
        <w:rPr>
          <w:sz w:val="28"/>
        </w:rPr>
        <w:t xml:space="preserve">, </w:t>
      </w:r>
      <w:r w:rsidR="00AA1241" w:rsidRPr="00D37BA4">
        <w:rPr>
          <w:sz w:val="28"/>
          <w:szCs w:val="28"/>
        </w:rPr>
        <w:t xml:space="preserve">администрация сельского поселения </w:t>
      </w:r>
      <w:r w:rsidR="00D37BA4" w:rsidRPr="00D37BA4">
        <w:rPr>
          <w:sz w:val="28"/>
          <w:szCs w:val="28"/>
        </w:rPr>
        <w:t>Заборовка</w:t>
      </w:r>
      <w:proofErr w:type="gramEnd"/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464DC7" w:rsidRDefault="00AA1241" w:rsidP="00AA1241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D37BA4">
        <w:rPr>
          <w:sz w:val="28"/>
          <w:szCs w:val="28"/>
        </w:rPr>
        <w:t>«Ве</w:t>
      </w:r>
      <w:r w:rsidR="00D37BA4" w:rsidRPr="00D37BA4">
        <w:rPr>
          <w:sz w:val="28"/>
          <w:szCs w:val="28"/>
        </w:rPr>
        <w:t>стник Заборовки</w:t>
      </w:r>
      <w:r w:rsidRPr="00D37BA4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D37BA4" w:rsidRDefault="00AA1241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D37BA4">
        <w:rPr>
          <w:b/>
          <w:sz w:val="28"/>
        </w:rPr>
        <w:t xml:space="preserve">Глава </w:t>
      </w:r>
      <w:proofErr w:type="gramStart"/>
      <w:r w:rsidRPr="00D37BA4">
        <w:rPr>
          <w:b/>
          <w:sz w:val="28"/>
        </w:rPr>
        <w:t>сельског</w:t>
      </w:r>
      <w:r w:rsidR="00D37BA4" w:rsidRPr="00D37BA4">
        <w:rPr>
          <w:b/>
          <w:sz w:val="28"/>
        </w:rPr>
        <w:t>о</w:t>
      </w:r>
      <w:proofErr w:type="gramEnd"/>
    </w:p>
    <w:p w:rsidR="001F4922" w:rsidRPr="00D37BA4" w:rsidRDefault="00D37BA4" w:rsidP="00AA1241">
      <w:pPr>
        <w:tabs>
          <w:tab w:val="left" w:pos="10206"/>
        </w:tabs>
        <w:ind w:right="278"/>
        <w:jc w:val="both"/>
        <w:rPr>
          <w:b/>
          <w:sz w:val="28"/>
        </w:rPr>
      </w:pPr>
      <w:r w:rsidRPr="00D37BA4">
        <w:rPr>
          <w:b/>
          <w:sz w:val="28"/>
        </w:rPr>
        <w:t xml:space="preserve"> поселения Заборовка    </w:t>
      </w:r>
      <w:r>
        <w:rPr>
          <w:b/>
          <w:sz w:val="28"/>
        </w:rPr>
        <w:t xml:space="preserve">                                        </w:t>
      </w:r>
      <w:r w:rsidRPr="00D37BA4">
        <w:rPr>
          <w:b/>
          <w:sz w:val="28"/>
        </w:rPr>
        <w:t xml:space="preserve">            И.В.Беленовская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E62C04">
        <w:t xml:space="preserve">сельского поселения </w:t>
      </w:r>
      <w:r w:rsidR="00E62C04" w:rsidRPr="00E62C04">
        <w:t>Заборовка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E62C04">
        <w:t xml:space="preserve">сельского поселения </w:t>
      </w:r>
      <w:r w:rsidR="00E62C04" w:rsidRPr="00E62C04">
        <w:t>Заборовка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E62C04" w:rsidRDefault="006E6CA5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администрации </w:t>
      </w:r>
      <w:r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: </w:t>
      </w:r>
      <w:r w:rsidR="00E62C04" w:rsidRPr="00E62C04">
        <w:t>446070</w:t>
      </w:r>
      <w:r w:rsidRPr="00E62C04">
        <w:t>, Самарская обла</w:t>
      </w:r>
      <w:r w:rsidR="00E62C04" w:rsidRPr="00E62C04">
        <w:t xml:space="preserve">сть, Сызранский район, </w:t>
      </w:r>
      <w:proofErr w:type="gramStart"/>
      <w:r w:rsidR="00E62C04" w:rsidRPr="00E62C04">
        <w:t>с</w:t>
      </w:r>
      <w:proofErr w:type="gramEnd"/>
      <w:r w:rsidR="00E62C04" w:rsidRPr="00E62C04">
        <w:t>. Заборовка, ул. Почтовая,2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</w:pPr>
      <w:r w:rsidRPr="00E62C04">
        <w:t xml:space="preserve">График работы </w:t>
      </w:r>
      <w:r w:rsidR="006E6CA5" w:rsidRPr="00E62C04">
        <w:t xml:space="preserve">администрации сельского поселения </w:t>
      </w:r>
      <w:r w:rsidR="00E62C04" w:rsidRPr="00E62C04">
        <w:t xml:space="preserve"> Заборовка</w:t>
      </w:r>
      <w:r w:rsidRPr="00E62C04">
        <w:t xml:space="preserve"> (по местному времени):</w:t>
      </w:r>
    </w:p>
    <w:p w:rsidR="006E6CA5" w:rsidRPr="00E62C0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</w:t>
      </w:r>
      <w:r w:rsidR="00E62C04" w:rsidRPr="00E62C04">
        <w:rPr>
          <w:rFonts w:ascii="Times New Roman" w:hAnsi="Times New Roman" w:cs="Times New Roman"/>
          <w:sz w:val="24"/>
          <w:szCs w:val="24"/>
        </w:rPr>
        <w:t xml:space="preserve">        Понедельник  - 8.00 – 16</w:t>
      </w:r>
      <w:r w:rsidRPr="00E62C0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E62C04" w:rsidRDefault="00E62C04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E62C0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E62C0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C04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E62C0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E62C04" w:rsidRDefault="006E6CA5" w:rsidP="0047545E">
      <w:pPr>
        <w:autoSpaceDE w:val="0"/>
        <w:autoSpaceDN w:val="0"/>
        <w:adjustRightInd w:val="0"/>
        <w:ind w:firstLine="540"/>
        <w:jc w:val="both"/>
      </w:pPr>
      <w:r w:rsidRPr="00E62C04">
        <w:t xml:space="preserve">Справочные телефоны </w:t>
      </w:r>
      <w:r w:rsidR="00E62C04" w:rsidRPr="00E62C04">
        <w:t>администрации 8(8464) 93-01-16</w:t>
      </w:r>
      <w:r w:rsidRPr="00E62C04">
        <w:t>;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1.5. Порядок информирования о правилах предоставления муниципальной услуги.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- </w:t>
      </w:r>
      <w:r w:rsidR="00BF4EDA" w:rsidRPr="00E62C04">
        <w:t xml:space="preserve">непосредственно у специалистов </w:t>
      </w:r>
      <w:r w:rsidR="006E6CA5" w:rsidRPr="00E62C04">
        <w:t xml:space="preserve">администрации сельского поселения </w:t>
      </w:r>
      <w:r w:rsidR="00E62C04" w:rsidRPr="00E62C04">
        <w:t>Заборовка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lastRenderedPageBreak/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C55BD7">
        <w:t xml:space="preserve"> 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>Ответ на телефонный звонок должен начинаться</w:t>
      </w:r>
      <w:r w:rsidRPr="00C55BD7">
        <w:t xml:space="preserve">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E62C04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="00BF4EDA" w:rsidRPr="00E62C04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9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10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E62C04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E62C0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E62C04" w:rsidRPr="00E62C04">
        <w:rPr>
          <w:rFonts w:ascii="Times New Roman" w:hAnsi="Times New Roman" w:cs="Times New Roman"/>
          <w:b w:val="0"/>
          <w:sz w:val="24"/>
          <w:szCs w:val="24"/>
        </w:rPr>
        <w:t>Заборовка</w:t>
      </w:r>
      <w:r w:rsidRPr="00E62C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2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 xml:space="preserve">"Собрание законодательства РФ", 29.10.2001, N 44, ст. </w:t>
      </w:r>
      <w:r w:rsidRPr="00D773E7">
        <w:rPr>
          <w:rFonts w:ascii="Times New Roman" w:eastAsia="Calibri" w:hAnsi="Times New Roman"/>
          <w:sz w:val="24"/>
          <w:szCs w:val="24"/>
        </w:rPr>
        <w:lastRenderedPageBreak/>
        <w:t>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E62C04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E62C04">
        <w:t>се</w:t>
      </w:r>
      <w:r w:rsidR="00E62C04" w:rsidRPr="00E62C04">
        <w:t>льского поселения Заборовка</w:t>
      </w:r>
      <w:r w:rsidR="006E6CA5" w:rsidRPr="00E62C04">
        <w:t xml:space="preserve"> муниципального района Сызранский Самарской области, принятым постановлением Собрания представителей </w:t>
      </w:r>
      <w:r w:rsidR="00E62C04" w:rsidRPr="00E62C04">
        <w:t>сельского поселения Заборовка</w:t>
      </w:r>
      <w:r w:rsidR="006E6CA5" w:rsidRPr="00E62C04">
        <w:t xml:space="preserve"> муниципального района Сызранский Сам</w:t>
      </w:r>
      <w:r w:rsidR="00E62C04" w:rsidRPr="00E62C04">
        <w:t>арской области от 26.05.2014г №8</w:t>
      </w:r>
      <w:r w:rsidR="006E6CA5"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E62C04">
        <w:t xml:space="preserve">сельского поселения </w:t>
      </w:r>
      <w:r w:rsidR="00E62C04" w:rsidRPr="00E62C04">
        <w:t>Заборовка</w:t>
      </w:r>
      <w:r w:rsidRPr="00C55BD7">
        <w:t xml:space="preserve"> заявление по одной из предложенных форм </w:t>
      </w:r>
      <w:r w:rsidRPr="00D773E7">
        <w:t>(</w:t>
      </w:r>
      <w:hyperlink r:id="rId20" w:history="1">
        <w:r w:rsidRPr="00D773E7">
          <w:t xml:space="preserve">приложение N </w:t>
        </w:r>
      </w:hyperlink>
      <w:r w:rsidRPr="00D773E7">
        <w:t xml:space="preserve">3 - </w:t>
      </w:r>
      <w:hyperlink r:id="rId21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2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, должно быть оборудовано отдельным входом для свободного доступа </w:t>
      </w:r>
      <w:r w:rsidR="009E789A" w:rsidRPr="00E62C04">
        <w:t>заявителей</w:t>
      </w:r>
      <w:r w:rsidRPr="00E62C04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2.2.2. Вход в здание </w:t>
      </w:r>
      <w:r w:rsidR="00B44993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C82860" w:rsidRPr="00E62C04">
        <w:t xml:space="preserve">сельского поселения </w:t>
      </w:r>
      <w:r w:rsidR="00E62C04" w:rsidRPr="00E62C04">
        <w:t>Заборовка</w:t>
      </w:r>
      <w:r w:rsidRPr="00E62C04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E62C04">
        <w:t>2.2.6. Рабочие места сотрудников, предоставляющих муниципальную</w:t>
      </w:r>
      <w:r w:rsidRPr="00C55BD7">
        <w:t xml:space="preserve">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</w:t>
      </w:r>
      <w:r w:rsidRPr="008B4881">
        <w:rPr>
          <w:rFonts w:ascii="Times New Roman" w:hAnsi="Times New Roman"/>
          <w:sz w:val="24"/>
          <w:szCs w:val="24"/>
        </w:rPr>
        <w:lastRenderedPageBreak/>
        <w:t xml:space="preserve">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E62C04">
        <w:rPr>
          <w:rFonts w:ascii="Times New Roman" w:hAnsi="Times New Roman"/>
          <w:sz w:val="24"/>
          <w:szCs w:val="24"/>
        </w:rPr>
        <w:t>с</w:t>
      </w:r>
      <w:r w:rsidR="00E62C04" w:rsidRPr="00E62C04">
        <w:rPr>
          <w:rFonts w:ascii="Times New Roman" w:hAnsi="Times New Roman"/>
          <w:sz w:val="24"/>
          <w:szCs w:val="24"/>
        </w:rPr>
        <w:t>ельского поселения Заборовка</w:t>
      </w:r>
      <w:r w:rsidR="00B26143" w:rsidRPr="00E62C04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E62C04">
        <w:t xml:space="preserve">сельского поселения </w:t>
      </w:r>
      <w:r w:rsidR="00E62C04" w:rsidRPr="00E62C04">
        <w:t>Заборовка</w:t>
      </w:r>
      <w:r w:rsidR="00E62C04">
        <w:rPr>
          <w:color w:val="FF0000"/>
        </w:rPr>
        <w:t xml:space="preserve"> </w:t>
      </w:r>
      <w:r w:rsidRPr="00C55BD7">
        <w:t xml:space="preserve"> заявление и пакет </w:t>
      </w:r>
      <w:hyperlink r:id="rId23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4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E62C04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E62C04">
        <w:t xml:space="preserve">сельского поселения </w:t>
      </w:r>
      <w:r w:rsidRPr="00E62C04">
        <w:t>Заборовка</w:t>
      </w:r>
      <w:r w:rsidR="00BF4EDA" w:rsidRPr="00E62C04">
        <w:t xml:space="preserve">, которому вместе с копиями </w:t>
      </w:r>
      <w:hyperlink r:id="rId27" w:history="1">
        <w:r w:rsidR="00BF4EDA" w:rsidRPr="00E62C04">
          <w:t>документов</w:t>
        </w:r>
      </w:hyperlink>
      <w:r w:rsidR="00BF4EDA" w:rsidRPr="00E62C04">
        <w:t xml:space="preserve"> предоставляются их подлинники</w:t>
      </w:r>
      <w:r w:rsidR="00BF4EDA" w:rsidRPr="00D773E7">
        <w:t xml:space="preserve"> для сличения и заверения. Тексты </w:t>
      </w:r>
      <w:hyperlink r:id="rId28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9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2) принятие решения в форме постановления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о предоставлении земельного участка в аренду, собственность, постоянное</w:t>
      </w:r>
      <w:r w:rsidRPr="00C55BD7">
        <w:t xml:space="preserve">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30" w:history="1">
        <w:r w:rsidRPr="00CC45D2">
          <w:t>документов</w:t>
        </w:r>
      </w:hyperlink>
      <w:r w:rsidRPr="00CC45D2">
        <w:t xml:space="preserve">, а принятые </w:t>
      </w:r>
      <w:hyperlink r:id="rId31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3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4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для получения консультации либо для направления </w:t>
      </w:r>
      <w:hyperlink r:id="rId35" w:history="1">
        <w:r w:rsidRPr="00E62C04">
          <w:t>документов</w:t>
        </w:r>
      </w:hyperlink>
      <w:r w:rsidRPr="00E62C04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Специалист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предоставляет заявите</w:t>
      </w:r>
      <w:r w:rsidRPr="00CC45D2">
        <w:t xml:space="preserve">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7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CC45D2">
          <w:t>документов</w:t>
        </w:r>
      </w:hyperlink>
      <w:r w:rsidRPr="00CC45D2">
        <w:t>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E62C04">
        <w:t xml:space="preserve"> заявления и прилагаемых к нему </w:t>
      </w:r>
      <w:hyperlink r:id="rId39" w:history="1">
        <w:r w:rsidRPr="00E62C04">
          <w:t>документов</w:t>
        </w:r>
      </w:hyperlink>
      <w:r w:rsidRPr="00E62C04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E62C04">
        <w:t xml:space="preserve">Специалистами </w:t>
      </w:r>
      <w:r w:rsidR="007C4C34" w:rsidRPr="00E62C04">
        <w:t xml:space="preserve">администрации сельского поселения </w:t>
      </w:r>
      <w:r w:rsidR="00E62C04" w:rsidRPr="00E62C04">
        <w:t>Заборовка</w:t>
      </w:r>
      <w:r w:rsidRPr="00CC45D2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CC45D2">
        <w:t xml:space="preserve"> заявления о предоставлении земельного участка и прилагаемых к нему </w:t>
      </w:r>
      <w:hyperlink r:id="rId41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="007C4C34" w:rsidRPr="00E62C04">
        <w:t xml:space="preserve"> </w:t>
      </w:r>
      <w:r w:rsidRPr="00E62C04">
        <w:t>об отказе в предоставлении земельного участка направляется сопроводительным</w:t>
      </w:r>
      <w:r w:rsidRPr="00C55BD7">
        <w:t xml:space="preserve">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E62C04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E62C04">
        <w:t xml:space="preserve">сельского поселения </w:t>
      </w:r>
      <w:r w:rsidR="00E62C04" w:rsidRPr="00E62C04">
        <w:t>Заборовка</w:t>
      </w:r>
      <w:r w:rsidRPr="00E62C04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62C04">
        <w:t xml:space="preserve">3.1.5. После подписания вышеуказанного постановления </w:t>
      </w:r>
      <w:r w:rsidR="007C4C34" w:rsidRPr="00E62C04">
        <w:t xml:space="preserve">администрация сельского поселения </w:t>
      </w:r>
      <w:r w:rsidR="00E62C04" w:rsidRPr="00E62C04">
        <w:t>Заборовка</w:t>
      </w:r>
      <w:r w:rsidRPr="00E62C04">
        <w:t xml:space="preserve"> информирует население о возможном или предстоящем</w:t>
      </w:r>
      <w:r w:rsidRPr="00C55BD7">
        <w:t xml:space="preserve">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C55BD7">
        <w:t xml:space="preserve">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подготовку проекта постановления о предварительном согласовании места разме</w:t>
      </w:r>
      <w:r w:rsidR="007C4C34" w:rsidRPr="003E3558">
        <w:t xml:space="preserve">щения объекта, </w:t>
      </w:r>
      <w:proofErr w:type="gramStart"/>
      <w:r w:rsidR="007C4C34" w:rsidRPr="003E3558">
        <w:t>утверждающее</w:t>
      </w:r>
      <w:proofErr w:type="gramEnd"/>
      <w:r w:rsidR="007C4C34" w:rsidRPr="003E3558">
        <w:t xml:space="preserve"> а</w:t>
      </w:r>
      <w:r w:rsidRPr="003E3558">
        <w:t>кт.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3.1.11. Копию вышеуказанного постановления с приложением схемы расположения земельного участка </w:t>
      </w:r>
      <w:r w:rsidR="007C4C34" w:rsidRPr="003E3558">
        <w:t xml:space="preserve">администрация сельского поселения </w:t>
      </w:r>
      <w:r w:rsidR="003E3558" w:rsidRPr="003E3558">
        <w:t>Заборовка</w:t>
      </w:r>
      <w:r w:rsidR="007C4C34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2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подготовку проекта постановления 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3.1.15. </w:t>
      </w:r>
      <w:r w:rsidR="007C4C34" w:rsidRPr="003E3558">
        <w:t xml:space="preserve">Администрация сельского поселения </w:t>
      </w:r>
      <w:r w:rsidR="003E3558" w:rsidRPr="003E3558">
        <w:t>Заборовка</w:t>
      </w:r>
      <w:r w:rsidRPr="003E3558">
        <w:t xml:space="preserve"> на основании</w:t>
      </w:r>
      <w:r w:rsidRPr="00C55BD7">
        <w:t xml:space="preserve">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3E3558">
        <w:t xml:space="preserve">сельского поселения </w:t>
      </w:r>
      <w:r w:rsidR="003E3558" w:rsidRPr="003E3558">
        <w:t>Заборовка</w:t>
      </w:r>
      <w:r w:rsidR="007C4C34" w:rsidRPr="003E3558">
        <w:t xml:space="preserve"> </w:t>
      </w:r>
      <w:r w:rsidRPr="003E3558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3E3558">
        <w:t xml:space="preserve">Главой сельского поселения </w:t>
      </w:r>
      <w:r w:rsidR="003E3558" w:rsidRPr="003E3558">
        <w:t>Заборовка</w:t>
      </w:r>
      <w:r w:rsidRPr="003E3558">
        <w:t xml:space="preserve"> и направляется заявителю сопроводительным письмом с предложением</w:t>
      </w:r>
      <w:r w:rsidRPr="00C55BD7">
        <w:t xml:space="preserve">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направляет в отдел архитектуры и градостроительства запрос (копию заявления и сведений государственного земельного кадастра) для подготовки в соответствии с градостроительной документацией 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3.2.3. В течение 7 календарных дней отдел архитектуры и градостроительства готовит соответствующее градостроительное заключение и направляет в </w:t>
      </w:r>
      <w:r w:rsidR="00F7190E" w:rsidRPr="003E3558">
        <w:t xml:space="preserve">администрацию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3E3558">
        <w:lastRenderedPageBreak/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3.2.5.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3.2.8.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="00F7190E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="00F7190E" w:rsidRPr="003E3558">
        <w:t xml:space="preserve"> </w:t>
      </w:r>
      <w:r w:rsidRPr="003E3558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E3558">
        <w:t xml:space="preserve">3.2.9. </w:t>
      </w:r>
      <w:r w:rsidR="00F7190E" w:rsidRPr="003E3558">
        <w:t xml:space="preserve">Администрация сельского поселения </w:t>
      </w:r>
      <w:r w:rsidR="003E3558" w:rsidRPr="003E3558">
        <w:t>Заборовка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>, курирующим вопросы предоставления муниципальной услуги.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4.2. Периодичность осуществления текущего контроля устанавливается руководителем </w:t>
      </w:r>
      <w:r w:rsidR="00F7190E" w:rsidRPr="003E3558">
        <w:t xml:space="preserve">Главой сельского поселения </w:t>
      </w:r>
      <w:r w:rsidR="003E3558" w:rsidRPr="003E3558">
        <w:t>Заборовка</w:t>
      </w:r>
      <w:r w:rsidRPr="003E3558">
        <w:t>, курирующим вопросы предоставления муниципальной услуги.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4.3. </w:t>
      </w:r>
      <w:proofErr w:type="gramStart"/>
      <w:r w:rsidRPr="003E3558">
        <w:t>Контроль за</w:t>
      </w:r>
      <w:proofErr w:type="gramEnd"/>
      <w:r w:rsidRPr="003E3558">
        <w:t xml:space="preserve"> полнотой и качеством предоставления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="00F7190E" w:rsidRPr="003E3558">
        <w:t xml:space="preserve">, </w:t>
      </w:r>
      <w:r w:rsidRPr="003E3558">
        <w:t xml:space="preserve"> муниципальной услуги включает в себя проведение плановых и внеплановых проверок, выявление и устранение нарушений прав</w:t>
      </w:r>
      <w:r w:rsidRPr="0069222E">
        <w:t xml:space="preserve"> заявителей, рассмотрение, принятие решений и подготовку ответов на обращения заинтересованных лиц, содержащих </w:t>
      </w:r>
      <w:r w:rsidRPr="003E3558">
        <w:lastRenderedPageBreak/>
        <w:t xml:space="preserve">жалобы на действия (бездействие) должностных лиц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4.5. Порядок и периодичность проведения плановых проверок выполнения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Pr="003E3558">
        <w:t xml:space="preserve"> </w:t>
      </w:r>
      <w:r w:rsidR="00F7190E" w:rsidRPr="003E3558">
        <w:t>положений а</w:t>
      </w:r>
      <w:r w:rsidRPr="003E3558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на текущий год.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3E3558">
        <w:t xml:space="preserve">Главой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Плановые проверки </w:t>
      </w:r>
      <w:r w:rsidR="00F7190E" w:rsidRPr="003E3558">
        <w:t xml:space="preserve">администрацией сельского поселения </w:t>
      </w:r>
      <w:r w:rsidR="003E3558" w:rsidRPr="003E3558">
        <w:t>Заборовка</w:t>
      </w:r>
      <w:r w:rsidRPr="003E3558">
        <w:t xml:space="preserve"> проводятся</w:t>
      </w:r>
      <w:r w:rsidRPr="0069222E">
        <w:t xml:space="preserve"> не реже 1 раза в 3 года.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, </w:t>
      </w:r>
      <w:proofErr w:type="gramStart"/>
      <w:r w:rsidRPr="003E3558">
        <w:t>ответственным</w:t>
      </w:r>
      <w:proofErr w:type="gramEnd"/>
      <w:r w:rsidRPr="003E3558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Персональная ответственность работников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за несоблюдение порядка осуществления административных процедур в ходе</w:t>
      </w:r>
      <w:r w:rsidRPr="0069222E">
        <w:t xml:space="preserve">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Pr="003E3558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3E3558">
        <w:t xml:space="preserve">сельского поселения </w:t>
      </w:r>
      <w:r w:rsidR="003E3558" w:rsidRPr="003E3558">
        <w:t>Заборовка</w:t>
      </w:r>
      <w:r w:rsidRPr="003E3558">
        <w:t xml:space="preserve">, </w:t>
      </w:r>
    </w:p>
    <w:p w:rsidR="00BF4EDA" w:rsidRPr="003E3558" w:rsidRDefault="00BF4EDA" w:rsidP="00BF4EDA">
      <w:pPr>
        <w:autoSpaceDE w:val="0"/>
        <w:autoSpaceDN w:val="0"/>
        <w:adjustRightInd w:val="0"/>
        <w:jc w:val="center"/>
      </w:pPr>
      <w:r w:rsidRPr="003E3558">
        <w:t>а также его должностных лиц</w:t>
      </w:r>
    </w:p>
    <w:p w:rsidR="00BF4EDA" w:rsidRPr="003E3558" w:rsidRDefault="00BF4EDA" w:rsidP="00BF4EDA">
      <w:pPr>
        <w:autoSpaceDE w:val="0"/>
        <w:autoSpaceDN w:val="0"/>
        <w:adjustRightInd w:val="0"/>
        <w:jc w:val="center"/>
      </w:pP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3E3558">
        <w:t>администрации сель</w:t>
      </w:r>
      <w:r w:rsidR="003E3558" w:rsidRPr="003E3558">
        <w:t xml:space="preserve">ского поселения Заборовка </w:t>
      </w:r>
      <w:r w:rsidR="00F7190E" w:rsidRPr="003E3558">
        <w:t xml:space="preserve"> Главе сельского поселения </w:t>
      </w:r>
      <w:r w:rsidR="003E3558" w:rsidRPr="003E3558">
        <w:t>Заборовка</w:t>
      </w:r>
      <w:r w:rsidRPr="003E3558">
        <w:t>.</w:t>
      </w:r>
    </w:p>
    <w:p w:rsidR="00BF4EDA" w:rsidRPr="003E3558" w:rsidRDefault="00BF4EDA" w:rsidP="00BF4EDA">
      <w:pPr>
        <w:autoSpaceDE w:val="0"/>
        <w:autoSpaceDN w:val="0"/>
        <w:adjustRightInd w:val="0"/>
        <w:ind w:firstLine="540"/>
        <w:jc w:val="both"/>
      </w:pPr>
      <w:r w:rsidRPr="003E3558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3E3558">
        <w:t xml:space="preserve">администрации сельского поселения </w:t>
      </w:r>
      <w:r w:rsidR="003E3558" w:rsidRPr="003E3558">
        <w:t>Заборовка</w:t>
      </w:r>
      <w:r w:rsidRPr="003E3558">
        <w:t xml:space="preserve"> в ходе предоставления муниципальной услуги на основании </w:t>
      </w:r>
      <w:r w:rsidR="00F7190E" w:rsidRPr="003E3558">
        <w:t>а</w:t>
      </w:r>
      <w:r w:rsidRPr="003E3558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3E3558">
        <w:t xml:space="preserve">сельского поселения </w:t>
      </w:r>
      <w:r w:rsidR="003E3558" w:rsidRPr="003E3558">
        <w:t>Заборовка</w:t>
      </w:r>
      <w:r w:rsidRPr="003E3558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3E3558">
        <w:t xml:space="preserve"> </w:t>
      </w:r>
      <w:proofErr w:type="gramStart"/>
      <w:r w:rsidRPr="003E3558">
        <w:t>условии</w:t>
      </w:r>
      <w:proofErr w:type="gramEnd"/>
      <w:r w:rsidRPr="003E3558">
        <w:t xml:space="preserve">, что указанное обращение и ранее направляемые обращения направлялись в </w:t>
      </w:r>
      <w:r w:rsidR="002C44CA" w:rsidRPr="003E3558">
        <w:t xml:space="preserve">администрацию сельского поселения </w:t>
      </w:r>
      <w:r w:rsidR="003E3558" w:rsidRPr="003E3558">
        <w:t>Заборовка</w:t>
      </w:r>
      <w:r w:rsidRPr="003E3558">
        <w:t xml:space="preserve"> или одному и тому же должностному лицу</w:t>
      </w:r>
      <w:r w:rsidRPr="0069222E">
        <w:t>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3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E62C04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E62C04" w:rsidRPr="00280448" w:rsidRDefault="00E62C04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E62C04" w:rsidRDefault="00E62C04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E62C04" w:rsidRDefault="00E62C04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62C04" w:rsidRPr="006F5FA5" w:rsidRDefault="00E62C0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E62C04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E62C04" w:rsidRDefault="00E62C04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C04" w:rsidRPr="006F5FA5" w:rsidRDefault="00E62C04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E62C04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E62C04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E62C04" w:rsidRPr="006F5FA5" w:rsidRDefault="00E62C0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E62C04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E62C04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E62C04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E62C04" w:rsidRDefault="00E62C04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E62C0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E62C04" w:rsidRPr="00280448" w:rsidRDefault="00E62C0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E62C0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E62C04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E62C04" w:rsidRPr="00CD0B03" w:rsidRDefault="00E62C0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E62C04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E62C04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E62C04" w:rsidRPr="007E308C" w:rsidRDefault="00E62C04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bookmarkStart w:id="0" w:name="_GoBack"/>
      <w:r w:rsidR="003E3558" w:rsidRPr="003E3558">
        <w:t>сельского  поселения Заборовка</w:t>
      </w:r>
      <w:bookmarkEnd w:id="0"/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lastRenderedPageBreak/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3E3558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</w:t>
      </w:r>
      <w:r w:rsidR="008665BF">
        <w:t xml:space="preserve"> </w:t>
      </w:r>
      <w:r w:rsidR="00E17255">
        <w:t xml:space="preserve">Главе </w:t>
      </w:r>
      <w:r w:rsidRPr="003E3558">
        <w:t>сельского  поселения Заборовка</w:t>
      </w:r>
      <w:r w:rsidR="008665BF">
        <w:rPr>
          <w:color w:val="FF0000"/>
        </w:rPr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4" w:history="1">
        <w:r w:rsidRPr="00BE51B5">
          <w:t>ОКПО</w:t>
        </w:r>
      </w:hyperlink>
      <w:r w:rsidRPr="00BE51B5">
        <w:t xml:space="preserve">, </w:t>
      </w:r>
      <w:hyperlink r:id="rId45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6" w:history="1">
        <w:r w:rsidRPr="00BE51B5">
          <w:t>ОКОГУ</w:t>
        </w:r>
      </w:hyperlink>
      <w:r w:rsidRPr="00BE51B5">
        <w:t xml:space="preserve">, </w:t>
      </w:r>
      <w:hyperlink r:id="rId47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lastRenderedPageBreak/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99" w:rsidRDefault="00973C99" w:rsidP="00EE5D62">
      <w:r>
        <w:separator/>
      </w:r>
    </w:p>
  </w:endnote>
  <w:endnote w:type="continuationSeparator" w:id="0">
    <w:p w:rsidR="00973C99" w:rsidRDefault="00973C99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99" w:rsidRDefault="00973C99" w:rsidP="00EE5D62">
      <w:r>
        <w:separator/>
      </w:r>
    </w:p>
  </w:footnote>
  <w:footnote w:type="continuationSeparator" w:id="0">
    <w:p w:rsidR="00973C99" w:rsidRDefault="00973C99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3E3558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3C99"/>
    <w:rsid w:val="009742BA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4C8E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37BA4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62C04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59"/>
        <o:r id="V:Rule4" type="connector" idref="#_x0000_s1065"/>
        <o:r id="V:Rule5" type="connector" idref="#_x0000_s1050">
          <o:proxy start="" idref="#Rectangle 6" connectloc="2"/>
        </o:r>
        <o:r id="V:Rule6" type="connector" idref="#_x0000_s1049">
          <o:proxy start="" idref="#Rectangle 6" connectloc="2"/>
        </o:r>
        <o:r id="V:Rule7" type="connector" idref="#_x0000_s1054"/>
        <o:r id="V:Rule8" type="connector" idref="#_x0000_s1072"/>
        <o:r id="V:Rule9" type="connector" idref="#_x0000_s1070"/>
        <o:r id="V:Rule10" type="connector" idref="#_x0000_s1068"/>
        <o:r id="V:Rule11" type="connector" idref="#_x0000_s1044"/>
        <o:r id="V:Rule12" type="connector" idref="#_x0000_s1053"/>
        <o:r id="V:Rule13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2D399F30FD96C79DA1DE232TDL" TargetMode="External"/><Relationship Id="rId47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0F4CD81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4076DF4C583998C609894414EDBCF0887BC23CD0DAB3E05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566FEC083998C609894414EDBCF0887BC23CD0DAB3D05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92372524AA221D00F2ADCB9AE85E96C64496C84B3F3A8F8C8DCF36BA72FA91AD2339393A3FC622B8L4X3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4564-D24C-4510-A231-1F75B7C3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28</cp:revision>
  <cp:lastPrinted>2016-05-30T09:26:00Z</cp:lastPrinted>
  <dcterms:created xsi:type="dcterms:W3CDTF">2016-05-10T17:07:00Z</dcterms:created>
  <dcterms:modified xsi:type="dcterms:W3CDTF">2016-08-24T10:08:00Z</dcterms:modified>
</cp:coreProperties>
</file>