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D" w:rsidRDefault="00FD283D" w:rsidP="00FD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Российская Федерация</w:t>
      </w:r>
    </w:p>
    <w:p w:rsidR="00FD283D" w:rsidRDefault="00FD283D" w:rsidP="00FD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283D" w:rsidRDefault="00FD283D" w:rsidP="00FD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FD283D" w:rsidRDefault="00FD283D" w:rsidP="00FD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 области</w:t>
      </w:r>
    </w:p>
    <w:p w:rsidR="00FD283D" w:rsidRDefault="00FD283D" w:rsidP="00FD283D">
      <w:pPr>
        <w:jc w:val="center"/>
        <w:rPr>
          <w:sz w:val="28"/>
          <w:szCs w:val="28"/>
        </w:rPr>
      </w:pPr>
    </w:p>
    <w:p w:rsidR="00FD283D" w:rsidRDefault="00FD283D" w:rsidP="00FD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D283D" w:rsidRDefault="00FD283D" w:rsidP="00FD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20. 03. 2015г.                                                                                    №36</w:t>
      </w:r>
    </w:p>
    <w:p w:rsidR="00FD283D" w:rsidRDefault="00FD283D" w:rsidP="00FD283D">
      <w:pPr>
        <w:autoSpaceDE w:val="0"/>
        <w:rPr>
          <w:rFonts w:eastAsia="Arial"/>
          <w:b/>
          <w:sz w:val="24"/>
          <w:szCs w:val="24"/>
          <w:lang w:eastAsia="ar-SA"/>
        </w:rPr>
      </w:pPr>
    </w:p>
    <w:p w:rsidR="00FD283D" w:rsidRDefault="00FD283D" w:rsidP="00FD283D">
      <w:pPr>
        <w:jc w:val="center"/>
        <w:rPr>
          <w:sz w:val="3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муниципальную  Программу 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«Благоустройство территории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Старая Рачейка на 2015г.»</w:t>
      </w:r>
    </w:p>
    <w:p w:rsidR="00FD283D" w:rsidRDefault="00FD283D" w:rsidP="00FD28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  от 13.02.2014 года  № 16 «О разработке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Самарской области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ПОСТАНОВЛЯЮ: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1.Внести  изменения в  муниципальную  Программу «Благоустройство территории  сельского поселения  Старая Рачейка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Самарской области на 2015 год» постановление  № 181 от 22.12.2014г.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1 в  разделах:  </w:t>
      </w:r>
      <w:r w:rsidRPr="00BA4851">
        <w:rPr>
          <w:sz w:val="28"/>
          <w:szCs w:val="28"/>
        </w:rPr>
        <w:t>Источники финансирования Программы</w:t>
      </w:r>
      <w: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основные мероприятия  программы.</w:t>
      </w:r>
    </w:p>
    <w:p w:rsidR="00FD283D" w:rsidRDefault="00FD283D" w:rsidP="00FD283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 постановление  администрации в газете 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«Вестник  Старой  Рачейки»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FD283D" w:rsidRPr="00BA4851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Старая Рачейка                                                    В.П. Прокопьев</w:t>
      </w: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shd w:val="clear" w:color="auto" w:fill="F4F4EC"/>
        <w:spacing w:line="374" w:lineRule="atLeast"/>
        <w:ind w:left="6381" w:firstLine="709"/>
        <w:jc w:val="both"/>
        <w:outlineLvl w:val="2"/>
        <w:rPr>
          <w:sz w:val="24"/>
          <w:szCs w:val="28"/>
        </w:rPr>
      </w:pPr>
      <w:r>
        <w:rPr>
          <w:szCs w:val="28"/>
        </w:rPr>
        <w:t>УТВЕРЖДАЮ:</w:t>
      </w:r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Глава сельского поселения</w:t>
      </w:r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Старая Рачейка</w:t>
      </w:r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proofErr w:type="spellStart"/>
      <w:r>
        <w:rPr>
          <w:szCs w:val="28"/>
        </w:rPr>
        <w:t>___________В.П.Прокопьев</w:t>
      </w:r>
      <w:proofErr w:type="spellEnd"/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«___» ________ 20___ г.</w:t>
      </w: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«Благоустройство территории  сельского поселения Старая Рачейка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на 2015г.»</w:t>
      </w: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 w:val="24"/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pacing w:after="100" w:afterAutospacing="1"/>
        <w:rPr>
          <w:szCs w:val="24"/>
        </w:rPr>
      </w:pPr>
    </w:p>
    <w:p w:rsidR="00FD283D" w:rsidRDefault="00FD283D" w:rsidP="00FD283D">
      <w:pPr>
        <w:spacing w:after="100" w:afterAutospacing="1"/>
      </w:pPr>
    </w:p>
    <w:p w:rsidR="00FD283D" w:rsidRDefault="00FD283D" w:rsidP="00FD283D">
      <w:pPr>
        <w:spacing w:after="100" w:afterAutospacing="1"/>
        <w:jc w:val="right"/>
      </w:pPr>
      <w:r>
        <w:t>Приложение №1</w:t>
      </w:r>
    </w:p>
    <w:p w:rsidR="00FD283D" w:rsidRDefault="00FD283D" w:rsidP="00FD283D">
      <w:pPr>
        <w:spacing w:after="100" w:afterAutospacing="1"/>
        <w:jc w:val="right"/>
      </w:pPr>
      <w:r>
        <w:lastRenderedPageBreak/>
        <w:t xml:space="preserve">К Постановлению администрации </w:t>
      </w:r>
      <w:proofErr w:type="gramStart"/>
      <w:r>
        <w:t>сельского</w:t>
      </w:r>
      <w:proofErr w:type="gramEnd"/>
    </w:p>
    <w:p w:rsidR="00FD283D" w:rsidRDefault="00FD283D" w:rsidP="00FD283D">
      <w:pPr>
        <w:spacing w:after="100" w:afterAutospacing="1"/>
        <w:jc w:val="right"/>
      </w:pPr>
      <w:r>
        <w:t>поселения  Старая Рачейка</w:t>
      </w:r>
    </w:p>
    <w:p w:rsidR="00FD283D" w:rsidRDefault="00FD283D" w:rsidP="00FD283D">
      <w:pPr>
        <w:spacing w:after="100" w:afterAutospacing="1"/>
        <w:jc w:val="center"/>
      </w:pPr>
      <w:r>
        <w:t xml:space="preserve">                                                                                                                 от 20.03.2015. №36 </w:t>
      </w:r>
    </w:p>
    <w:p w:rsidR="00FD283D" w:rsidRDefault="00FD283D" w:rsidP="00FD283D">
      <w:pPr>
        <w:jc w:val="center"/>
        <w:rPr>
          <w:sz w:val="28"/>
          <w:szCs w:val="28"/>
          <w:lang w:eastAsia="ar-SA"/>
        </w:rPr>
      </w:pPr>
      <w:r>
        <w:rPr>
          <w:rStyle w:val="a4"/>
          <w:b w:val="0"/>
          <w:sz w:val="28"/>
          <w:szCs w:val="28"/>
        </w:rPr>
        <w:t>Паспорт</w:t>
      </w:r>
      <w:r>
        <w:rPr>
          <w:rStyle w:val="a4"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муниципальной  Программы «Благоустройство территории  сельского поселения Старая Рачейка на 2015г.»</w:t>
      </w:r>
    </w:p>
    <w:p w:rsidR="00FD283D" w:rsidRDefault="00FD283D" w:rsidP="00FD283D">
      <w:pPr>
        <w:jc w:val="center"/>
        <w:rPr>
          <w:rFonts w:ascii="Verdana" w:hAnsi="Verdan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7570"/>
      </w:tblGrid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Муниципальная  Программа «Благоустройство территории  сельского поселения Старая Рачейка на 2015г.»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Заказчик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 сельского поселения Старая Рачейка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Основание для</w:t>
            </w:r>
            <w:r>
              <w:br/>
              <w:t>разработки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3D" w:rsidRDefault="00FD283D" w:rsidP="00A7396B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Самарской области  от 13.02.2014 года  № 16 «О разработке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Самарской области»</w:t>
            </w:r>
          </w:p>
          <w:p w:rsidR="00FD283D" w:rsidRDefault="00FD283D" w:rsidP="00A7396B">
            <w:pPr>
              <w:pStyle w:val="a3"/>
              <w:spacing w:after="0"/>
              <w:jc w:val="both"/>
            </w:pP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Администрации  сельского поселения Старая Рачейка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Администрации  сельского поселения Старая Рачейка.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Срок реализации Программы   2015г.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Default="00FD283D" w:rsidP="00A7396B">
            <w:pPr>
              <w:pStyle w:val="a3"/>
              <w:snapToGrid w:val="0"/>
              <w:spacing w:before="0" w:after="0"/>
              <w:jc w:val="both"/>
            </w:pPr>
            <w:r>
              <w:t xml:space="preserve">- развитие положительных тенденций в создании </w:t>
            </w:r>
            <w:r>
              <w:br/>
              <w:t xml:space="preserve">благоприятной среды жизнедеятельности; </w:t>
            </w:r>
            <w:r>
              <w:br/>
              <w:t xml:space="preserve">- повышение степени удовлетворенности населения уровнем </w:t>
            </w:r>
            <w:r>
              <w:br/>
              <w:t xml:space="preserve">благоустройства; </w:t>
            </w:r>
            <w:r>
              <w:br/>
              <w:t xml:space="preserve">- улучшение технического состояния отдельных объектов </w:t>
            </w:r>
            <w:r>
              <w:br/>
              <w:t xml:space="preserve">благоустройства; </w:t>
            </w:r>
            <w:r>
              <w:br/>
              <w:t>- улучшение санитарного и экологического состояния  </w:t>
            </w:r>
            <w:r>
              <w:br/>
              <w:t xml:space="preserve">поселения; </w:t>
            </w:r>
            <w:r>
              <w:br/>
              <w:t xml:space="preserve">- повышение уровня эстетики поселения; </w:t>
            </w:r>
            <w:r>
              <w:br/>
              <w:t xml:space="preserve">- привлечение молодого поколения к участию в </w:t>
            </w:r>
            <w:r>
              <w:br/>
              <w:t>благоустройстве поселения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Источники</w:t>
            </w:r>
            <w:r>
              <w:br/>
              <w:t>финансирования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3D" w:rsidRPr="00C17900" w:rsidRDefault="00FD283D" w:rsidP="00A7396B">
            <w:pPr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Общий объём финансирования Программы – 1863,000 тыс. рублей, в том числе по годам реализации Программы:</w:t>
            </w:r>
          </w:p>
          <w:p w:rsidR="00FD283D" w:rsidRPr="00C17900" w:rsidRDefault="00FD283D" w:rsidP="00A7396B">
            <w:pPr>
              <w:rPr>
                <w:sz w:val="24"/>
                <w:szCs w:val="24"/>
              </w:rPr>
            </w:pPr>
            <w:r w:rsidRPr="00C17900">
              <w:rPr>
                <w:sz w:val="24"/>
                <w:szCs w:val="24"/>
              </w:rPr>
              <w:t>2015 год – 1863,000 тыс. рублей;</w:t>
            </w:r>
          </w:p>
          <w:p w:rsidR="00FD283D" w:rsidRPr="00C17900" w:rsidRDefault="00FD283D" w:rsidP="00A7396B">
            <w:pPr>
              <w:jc w:val="both"/>
              <w:rPr>
                <w:sz w:val="24"/>
                <w:szCs w:val="24"/>
              </w:rPr>
            </w:pPr>
            <w:r w:rsidRPr="00C17900">
              <w:rPr>
                <w:sz w:val="24"/>
                <w:szCs w:val="24"/>
              </w:rPr>
              <w:t>Источник финансирования – бюджет администрации сельского поселения- 280,000 тыс</w:t>
            </w:r>
            <w:proofErr w:type="gramStart"/>
            <w:r w:rsidRPr="00C17900">
              <w:rPr>
                <w:sz w:val="24"/>
                <w:szCs w:val="24"/>
              </w:rPr>
              <w:t>.р</w:t>
            </w:r>
            <w:proofErr w:type="gramEnd"/>
            <w:r w:rsidRPr="00C17900">
              <w:rPr>
                <w:sz w:val="24"/>
                <w:szCs w:val="24"/>
              </w:rPr>
              <w:t>уб.,</w:t>
            </w:r>
          </w:p>
          <w:p w:rsidR="00FD283D" w:rsidRPr="00C17900" w:rsidRDefault="00FD283D" w:rsidP="00A7396B">
            <w:pPr>
              <w:jc w:val="both"/>
              <w:rPr>
                <w:sz w:val="24"/>
                <w:szCs w:val="24"/>
              </w:rPr>
            </w:pPr>
            <w:r w:rsidRPr="00C17900">
              <w:rPr>
                <w:sz w:val="24"/>
                <w:szCs w:val="24"/>
              </w:rPr>
              <w:t xml:space="preserve">                                                         - Министерство управления финансами </w:t>
            </w:r>
            <w:proofErr w:type="gramStart"/>
            <w:r w:rsidRPr="00C17900">
              <w:rPr>
                <w:sz w:val="24"/>
                <w:szCs w:val="24"/>
              </w:rPr>
              <w:t>Самарской</w:t>
            </w:r>
            <w:proofErr w:type="gramEnd"/>
            <w:r w:rsidRPr="00C17900">
              <w:rPr>
                <w:sz w:val="24"/>
                <w:szCs w:val="24"/>
              </w:rPr>
              <w:t xml:space="preserve"> области-1583,000 тыс. рублей</w:t>
            </w:r>
          </w:p>
          <w:p w:rsidR="00FD283D" w:rsidRPr="00C17900" w:rsidRDefault="00FD283D" w:rsidP="00A739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t>Контроль за</w:t>
            </w:r>
            <w:proofErr w:type="gramEnd"/>
            <w:r>
              <w:br/>
              <w:t>реализацией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Администрации  сельского поселения Старая Рачейка</w:t>
            </w:r>
          </w:p>
        </w:tc>
      </w:tr>
    </w:tbl>
    <w:p w:rsidR="00FD283D" w:rsidRDefault="00FD283D" w:rsidP="00FD283D">
      <w:pPr>
        <w:pStyle w:val="a3"/>
        <w:jc w:val="both"/>
        <w:rPr>
          <w:rStyle w:val="a4"/>
        </w:rPr>
      </w:pPr>
    </w:p>
    <w:p w:rsidR="00FD283D" w:rsidRDefault="00FD283D" w:rsidP="00FD283D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>Введение</w:t>
      </w:r>
    </w:p>
    <w:p w:rsidR="00FD283D" w:rsidRDefault="00FD283D" w:rsidP="00FD283D">
      <w:pPr>
        <w:pStyle w:val="a3"/>
        <w:ind w:firstLine="360"/>
        <w:jc w:val="both"/>
      </w:pPr>
      <w: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>
        <w:t>связи</w:t>
      </w:r>
      <w:proofErr w:type="gramEnd"/>
      <w: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FD283D" w:rsidRDefault="00FD283D" w:rsidP="00FD283D">
      <w:pPr>
        <w:spacing w:before="280" w:after="280"/>
        <w:ind w:left="720"/>
        <w:jc w:val="both"/>
      </w:pPr>
      <w:r>
        <w:rPr>
          <w:rStyle w:val="a4"/>
        </w:rPr>
        <w:t>1. Содержание проблемы и обоснование необходимости ее решения</w:t>
      </w:r>
      <w:r>
        <w:t xml:space="preserve"> </w:t>
      </w:r>
    </w:p>
    <w:p w:rsidR="00FD283D" w:rsidRDefault="00FD283D" w:rsidP="00FD283D">
      <w:pPr>
        <w:pStyle w:val="a3"/>
        <w:ind w:firstLine="708"/>
        <w:jc w:val="both"/>
      </w:pPr>
      <w: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FD283D" w:rsidRDefault="00FD283D" w:rsidP="00FD283D">
      <w:pPr>
        <w:pStyle w:val="a3"/>
        <w:ind w:firstLine="708"/>
        <w:jc w:val="both"/>
      </w:pPr>
      <w: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FD283D" w:rsidRDefault="00FD283D" w:rsidP="00FD283D">
      <w:pPr>
        <w:pStyle w:val="a3"/>
        <w:spacing w:before="0" w:after="0"/>
        <w:ind w:firstLine="708"/>
        <w:jc w:val="both"/>
      </w:pPr>
      <w:r>
        <w:t>Для населения среднего и старшего возраста зоны отдыха должны создавать атмосферу покоя, душевного комфорта.</w:t>
      </w:r>
    </w:p>
    <w:p w:rsidR="00FD283D" w:rsidRDefault="00FD283D" w:rsidP="00FD283D">
      <w:pPr>
        <w:pStyle w:val="a3"/>
        <w:spacing w:before="0" w:after="0"/>
        <w:ind w:firstLine="708"/>
        <w:jc w:val="both"/>
      </w:pPr>
    </w:p>
    <w:p w:rsidR="00FD283D" w:rsidRDefault="00FD283D" w:rsidP="00FD283D">
      <w:pPr>
        <w:pStyle w:val="a3"/>
        <w:spacing w:before="0" w:after="0"/>
        <w:ind w:firstLine="708"/>
        <w:jc w:val="both"/>
      </w:pPr>
      <w: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FD283D" w:rsidRDefault="00FD283D" w:rsidP="00FD283D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>2. Цель Программы</w:t>
      </w:r>
    </w:p>
    <w:p w:rsidR="00FD283D" w:rsidRDefault="00FD283D" w:rsidP="00FD283D">
      <w:pPr>
        <w:pStyle w:val="a3"/>
        <w:ind w:firstLine="708"/>
        <w:jc w:val="both"/>
      </w:pPr>
      <w:r>
        <w:t>Задачей    Программы   является   исполнение  в  2015г</w:t>
      </w:r>
      <w:proofErr w:type="gramStart"/>
      <w:r>
        <w:t>.. </w:t>
      </w:r>
      <w:proofErr w:type="gramEnd"/>
      <w: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FD283D" w:rsidRDefault="00FD283D" w:rsidP="00FD283D">
      <w:pPr>
        <w:pStyle w:val="a3"/>
        <w:ind w:firstLine="708"/>
        <w:jc w:val="both"/>
      </w:pPr>
      <w:r>
        <w:t>Целями и задачами Программы являются:</w:t>
      </w:r>
    </w:p>
    <w:p w:rsidR="00FD283D" w:rsidRDefault="00FD283D" w:rsidP="00FD283D">
      <w:pPr>
        <w:pStyle w:val="a3"/>
        <w:ind w:firstLine="708"/>
        <w:jc w:val="both"/>
      </w:pPr>
      <w:r>
        <w:t>- формирование среды, благоприятной для проживания населения;</w:t>
      </w:r>
    </w:p>
    <w:p w:rsidR="00FD283D" w:rsidRDefault="00FD283D" w:rsidP="00FD283D">
      <w:pPr>
        <w:pStyle w:val="a3"/>
        <w:ind w:firstLine="708"/>
        <w:jc w:val="both"/>
      </w:pPr>
      <w:r>
        <w:t xml:space="preserve">- формирование во дворе </w:t>
      </w:r>
      <w:proofErr w:type="spellStart"/>
      <w:r>
        <w:t>культурно-досуговой</w:t>
      </w:r>
      <w:proofErr w:type="spellEnd"/>
      <w:r>
        <w:t xml:space="preserve"> и воспитательной среды для молодежи;</w:t>
      </w:r>
    </w:p>
    <w:p w:rsidR="00FD283D" w:rsidRDefault="00FD283D" w:rsidP="00FD283D">
      <w:pPr>
        <w:pStyle w:val="a3"/>
        <w:ind w:firstLine="708"/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D283D" w:rsidRDefault="00FD283D" w:rsidP="00FD283D">
      <w:pPr>
        <w:pStyle w:val="a3"/>
        <w:ind w:firstLine="708"/>
        <w:jc w:val="both"/>
      </w:pPr>
    </w:p>
    <w:p w:rsidR="00FD283D" w:rsidRDefault="00FD283D" w:rsidP="00FD283D">
      <w:pPr>
        <w:pStyle w:val="a3"/>
        <w:ind w:firstLine="708"/>
        <w:jc w:val="both"/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3D"/>
    <w:rsid w:val="000A7E36"/>
    <w:rsid w:val="0057438E"/>
    <w:rsid w:val="005E4F00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83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FD283D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qFormat/>
    <w:rsid w:val="00FD2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5160</Characters>
  <Application>Microsoft Office Word</Application>
  <DocSecurity>0</DocSecurity>
  <Lines>43</Lines>
  <Paragraphs>12</Paragraphs>
  <ScaleCrop>false</ScaleCrop>
  <Company>DDGroup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2015-04-07T06:58:00Z</dcterms:created>
  <dcterms:modified xsi:type="dcterms:W3CDTF">2015-04-07T06:58:00Z</dcterms:modified>
</cp:coreProperties>
</file>