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F4" w:rsidRDefault="000671F4" w:rsidP="000671F4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№19</w:t>
      </w:r>
    </w:p>
    <w:p w:rsidR="000671F4" w:rsidRDefault="000671F4" w:rsidP="000671F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ведомственному стандарту </w:t>
      </w:r>
    </w:p>
    <w:p w:rsidR="000671F4" w:rsidRDefault="000671F4" w:rsidP="000671F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осуществления МКУ «Финансовое управление </w:t>
      </w:r>
    </w:p>
    <w:p w:rsidR="000671F4" w:rsidRDefault="000671F4" w:rsidP="000671F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Сызранского</w:t>
      </w:r>
      <w:proofErr w:type="spellEnd"/>
      <w:r>
        <w:rPr>
          <w:sz w:val="20"/>
          <w:szCs w:val="20"/>
        </w:rPr>
        <w:t xml:space="preserve"> района</w:t>
      </w:r>
    </w:p>
    <w:p w:rsidR="000671F4" w:rsidRDefault="000671F4" w:rsidP="000671F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Самарской области </w:t>
      </w:r>
    </w:p>
    <w:p w:rsidR="000671F4" w:rsidRDefault="000671F4" w:rsidP="000671F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полномочий по </w:t>
      </w:r>
      <w:proofErr w:type="gramStart"/>
      <w:r>
        <w:rPr>
          <w:sz w:val="20"/>
          <w:szCs w:val="20"/>
        </w:rPr>
        <w:t>внутреннему</w:t>
      </w:r>
      <w:proofErr w:type="gramEnd"/>
      <w:r>
        <w:rPr>
          <w:sz w:val="20"/>
          <w:szCs w:val="20"/>
        </w:rPr>
        <w:t xml:space="preserve"> муниципальному </w:t>
      </w:r>
    </w:p>
    <w:p w:rsidR="000671F4" w:rsidRDefault="000671F4" w:rsidP="000671F4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финансовому контролю</w:t>
      </w:r>
    </w:p>
    <w:p w:rsidR="000671F4" w:rsidRDefault="000671F4" w:rsidP="000671F4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671F4" w:rsidRDefault="000671F4" w:rsidP="000671F4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(форма)</w:t>
      </w:r>
    </w:p>
    <w:p w:rsidR="000671F4" w:rsidRDefault="000671F4" w:rsidP="000671F4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ОТЧЕТ</w:t>
      </w:r>
    </w:p>
    <w:p w:rsidR="000671F4" w:rsidRDefault="000671F4" w:rsidP="000671F4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результатах контрольной деятельности органа внутреннего</w:t>
      </w:r>
    </w:p>
    <w:p w:rsidR="000671F4" w:rsidRDefault="000671F4" w:rsidP="000671F4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государственного (муниципального) финансового контроля</w:t>
      </w:r>
    </w:p>
    <w:p w:rsidR="000671F4" w:rsidRDefault="000671F4" w:rsidP="000671F4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1</w:t>
      </w:r>
      <w:r w:rsidR="00D71123">
        <w:rPr>
          <w:rFonts w:ascii="Times New Roman" w:eastAsia="Times New Roman" w:hAnsi="Times New Roman" w:cs="Times New Roman"/>
        </w:rPr>
        <w:t xml:space="preserve">января </w:t>
      </w:r>
      <w:r>
        <w:rPr>
          <w:rFonts w:ascii="Times New Roman" w:eastAsia="Times New Roman" w:hAnsi="Times New Roman" w:cs="Times New Roman"/>
        </w:rPr>
        <w:t>20</w:t>
      </w:r>
      <w:r w:rsidR="00907002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>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9"/>
        <w:gridCol w:w="3996"/>
        <w:gridCol w:w="1659"/>
        <w:gridCol w:w="1205"/>
      </w:tblGrid>
      <w:tr w:rsidR="000671F4" w:rsidTr="000671F4">
        <w:tc>
          <w:tcPr>
            <w:tcW w:w="226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9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КОДЫ</w:t>
            </w:r>
          </w:p>
        </w:tc>
      </w:tr>
      <w:tr w:rsidR="000671F4" w:rsidTr="000671F4">
        <w:tc>
          <w:tcPr>
            <w:tcW w:w="226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D71123">
              <w:rPr>
                <w:rFonts w:ascii="Times New Roman" w:eastAsia="Times New Roman" w:hAnsi="Times New Roman" w:cs="Times New Roman"/>
              </w:rPr>
              <w:t xml:space="preserve">МКУ «Финансовое управление администрации </w:t>
            </w:r>
            <w:proofErr w:type="spellStart"/>
            <w:r w:rsidR="00D71123">
              <w:rPr>
                <w:rFonts w:ascii="Times New Roman" w:eastAsia="Times New Roman" w:hAnsi="Times New Roman" w:cs="Times New Roman"/>
              </w:rPr>
              <w:t>Сызранского</w:t>
            </w:r>
            <w:proofErr w:type="spellEnd"/>
            <w:r w:rsidR="00D71123">
              <w:rPr>
                <w:rFonts w:ascii="Times New Roman" w:eastAsia="Times New Roman" w:hAnsi="Times New Roman" w:cs="Times New Roman"/>
              </w:rPr>
              <w:t xml:space="preserve"> района»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907002" w:rsidP="00066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66A63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.01.2022</w:t>
            </w:r>
            <w:r w:rsidR="00D71123"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0671F4" w:rsidTr="000671F4">
        <w:tc>
          <w:tcPr>
            <w:tcW w:w="626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Периодичность: </w:t>
            </w:r>
            <w:r w:rsidRPr="00D71123">
              <w:rPr>
                <w:rFonts w:ascii="Times New Roman" w:eastAsia="Times New Roman" w:hAnsi="Times New Roman" w:cs="Times New Roman"/>
                <w:u w:val="single"/>
              </w:rPr>
              <w:t>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ОКПО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71F4" w:rsidTr="000671F4">
        <w:tc>
          <w:tcPr>
            <w:tcW w:w="626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 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71F4" w:rsidTr="000671F4">
        <w:tc>
          <w:tcPr>
            <w:tcW w:w="226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9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71F4" w:rsidTr="000671F4">
        <w:tc>
          <w:tcPr>
            <w:tcW w:w="226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9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ОКЕИ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986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0671F4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384</w:t>
              </w:r>
            </w:hyperlink>
          </w:p>
        </w:tc>
      </w:tr>
    </w:tbl>
    <w:p w:rsidR="000671F4" w:rsidRDefault="000671F4" w:rsidP="000671F4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5"/>
        <w:gridCol w:w="1191"/>
        <w:gridCol w:w="1474"/>
      </w:tblGrid>
      <w:tr w:rsidR="000671F4" w:rsidTr="000671F4">
        <w:tc>
          <w:tcPr>
            <w:tcW w:w="6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строки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</w:tr>
      <w:tr w:rsidR="000671F4" w:rsidTr="000671F4">
        <w:tc>
          <w:tcPr>
            <w:tcW w:w="634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 w:rsidP="00140D1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проверенных сре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 осуществлении внутреннего</w:t>
            </w:r>
            <w:r w:rsidR="00140D1E">
              <w:rPr>
                <w:rFonts w:ascii="Times New Roman" w:eastAsia="Times New Roman" w:hAnsi="Times New Roman" w:cs="Times New Roman"/>
                <w:u w:val="single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</w:rPr>
              <w:t xml:space="preserve"> финансового контроля, тыс. рублей</w:t>
            </w:r>
          </w:p>
        </w:tc>
        <w:tc>
          <w:tcPr>
            <w:tcW w:w="119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 w:rsidP="00D71123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</w:t>
            </w:r>
            <w:r w:rsidR="00D71123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  <w:tc>
          <w:tcPr>
            <w:tcW w:w="147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 w:rsidP="0036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3618D6">
              <w:rPr>
                <w:rFonts w:ascii="Times New Roman" w:eastAsia="Times New Roman" w:hAnsi="Times New Roman" w:cs="Times New Roman"/>
              </w:rPr>
              <w:t>134090,00</w:t>
            </w:r>
          </w:p>
        </w:tc>
      </w:tr>
      <w:tr w:rsidR="000671F4" w:rsidTr="000671F4">
        <w:tc>
          <w:tcPr>
            <w:tcW w:w="634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них:</w:t>
            </w:r>
          </w:p>
          <w:p w:rsidR="000671F4" w:rsidRDefault="000671F4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средствам федерального бюджета, бюджета субъекта Российской Федерации </w:t>
            </w:r>
            <w:r w:rsidRPr="00D71123">
              <w:rPr>
                <w:rFonts w:ascii="Times New Roman" w:eastAsia="Times New Roman" w:hAnsi="Times New Roman" w:cs="Times New Roman"/>
                <w:u w:val="single"/>
              </w:rPr>
              <w:t>(местного бюджета)</w:t>
            </w:r>
            <w:r>
              <w:rPr>
                <w:rFonts w:ascii="Times New Roman" w:eastAsia="Times New Roman" w:hAnsi="Times New Roman" w:cs="Times New Roman"/>
              </w:rPr>
              <w:t xml:space="preserve"> и средствам, предоставленным из федерального бюджета, бюджета субъекта Российской Федерации </w:t>
            </w:r>
            <w:r w:rsidRPr="00D71123">
              <w:rPr>
                <w:rFonts w:ascii="Times New Roman" w:eastAsia="Times New Roman" w:hAnsi="Times New Roman" w:cs="Times New Roman"/>
                <w:u w:val="single"/>
              </w:rPr>
              <w:t>(местного бюджета)</w:t>
            </w:r>
          </w:p>
        </w:tc>
        <w:tc>
          <w:tcPr>
            <w:tcW w:w="119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010/1</w:t>
            </w:r>
          </w:p>
        </w:tc>
        <w:tc>
          <w:tcPr>
            <w:tcW w:w="147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36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134090,00</w:t>
            </w:r>
          </w:p>
        </w:tc>
      </w:tr>
      <w:tr w:rsidR="000671F4" w:rsidTr="000671F4">
        <w:tc>
          <w:tcPr>
            <w:tcW w:w="634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010/2</w:t>
            </w:r>
          </w:p>
        </w:tc>
        <w:tc>
          <w:tcPr>
            <w:tcW w:w="147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D7112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671F4" w:rsidTr="000671F4">
        <w:trPr>
          <w:trHeight w:val="1376"/>
        </w:trPr>
        <w:tc>
          <w:tcPr>
            <w:tcW w:w="634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проверенных средств</w:t>
            </w:r>
            <w:r w:rsidR="00140D1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7" w:anchor="P137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строки 010</w:t>
              </w:r>
            </w:hyperlink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9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</w:t>
            </w:r>
          </w:p>
        </w:tc>
        <w:tc>
          <w:tcPr>
            <w:tcW w:w="147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 w:rsidP="0036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3618D6">
              <w:rPr>
                <w:rFonts w:ascii="Times New Roman" w:eastAsia="Times New Roman" w:hAnsi="Times New Roman" w:cs="Times New Roman"/>
              </w:rPr>
              <w:t>5948,4</w:t>
            </w:r>
          </w:p>
        </w:tc>
      </w:tr>
      <w:tr w:rsidR="000671F4" w:rsidTr="000671F4">
        <w:tc>
          <w:tcPr>
            <w:tcW w:w="634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020</w:t>
            </w:r>
          </w:p>
        </w:tc>
        <w:tc>
          <w:tcPr>
            <w:tcW w:w="147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 w:rsidP="0036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3618D6">
              <w:rPr>
                <w:rFonts w:ascii="Times New Roman" w:eastAsia="Times New Roman" w:hAnsi="Times New Roman" w:cs="Times New Roman"/>
              </w:rPr>
              <w:t>1541,00</w:t>
            </w:r>
          </w:p>
        </w:tc>
      </w:tr>
      <w:tr w:rsidR="000671F4" w:rsidTr="000671F4">
        <w:tc>
          <w:tcPr>
            <w:tcW w:w="634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них:</w:t>
            </w:r>
          </w:p>
          <w:p w:rsidR="000671F4" w:rsidRDefault="000671F4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средствам федерального бюджета, бюджета субъекта Российской Федерации </w:t>
            </w:r>
            <w:r w:rsidRPr="00D71123">
              <w:rPr>
                <w:rFonts w:ascii="Times New Roman" w:eastAsia="Times New Roman" w:hAnsi="Times New Roman" w:cs="Times New Roman"/>
                <w:u w:val="single"/>
              </w:rPr>
              <w:t>(местного бюджета)</w:t>
            </w:r>
            <w:r>
              <w:rPr>
                <w:rFonts w:ascii="Times New Roman" w:eastAsia="Times New Roman" w:hAnsi="Times New Roman" w:cs="Times New Roman"/>
              </w:rPr>
              <w:t xml:space="preserve"> и средствам, предоставленным из федерального бюджета, бюджета субъекта Российской Федерации </w:t>
            </w:r>
            <w:r w:rsidRPr="00D71123">
              <w:rPr>
                <w:rFonts w:ascii="Times New Roman" w:eastAsia="Times New Roman" w:hAnsi="Times New Roman" w:cs="Times New Roman"/>
                <w:u w:val="single"/>
              </w:rPr>
              <w:t>(местного бюджета)</w:t>
            </w:r>
          </w:p>
        </w:tc>
        <w:tc>
          <w:tcPr>
            <w:tcW w:w="119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020/1</w:t>
            </w:r>
          </w:p>
        </w:tc>
        <w:tc>
          <w:tcPr>
            <w:tcW w:w="147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36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151,00</w:t>
            </w:r>
          </w:p>
        </w:tc>
      </w:tr>
      <w:tr w:rsidR="000671F4" w:rsidTr="000671F4">
        <w:tc>
          <w:tcPr>
            <w:tcW w:w="634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020/2</w:t>
            </w:r>
          </w:p>
        </w:tc>
        <w:tc>
          <w:tcPr>
            <w:tcW w:w="147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D7112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671F4" w:rsidTr="000671F4">
        <w:tc>
          <w:tcPr>
            <w:tcW w:w="634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8" w:anchor="P15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строки 020</w:t>
              </w:r>
            </w:hyperlink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9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021</w:t>
            </w:r>
          </w:p>
        </w:tc>
        <w:tc>
          <w:tcPr>
            <w:tcW w:w="147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D7112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671F4" w:rsidTr="000671F4">
        <w:tc>
          <w:tcPr>
            <w:tcW w:w="634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</w:t>
            </w:r>
          </w:p>
        </w:tc>
        <w:tc>
          <w:tcPr>
            <w:tcW w:w="147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3618D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671F4" w:rsidTr="000671F4">
        <w:tc>
          <w:tcPr>
            <w:tcW w:w="634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0671F4" w:rsidRDefault="000671F4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031</w:t>
            </w:r>
          </w:p>
        </w:tc>
        <w:tc>
          <w:tcPr>
            <w:tcW w:w="147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3618D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671F4" w:rsidTr="000671F4">
        <w:tc>
          <w:tcPr>
            <w:tcW w:w="634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внеплановые ревизии и проверки</w:t>
            </w:r>
          </w:p>
        </w:tc>
        <w:tc>
          <w:tcPr>
            <w:tcW w:w="119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032</w:t>
            </w:r>
          </w:p>
        </w:tc>
        <w:tc>
          <w:tcPr>
            <w:tcW w:w="147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3618D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671F4" w:rsidTr="000671F4">
        <w:tc>
          <w:tcPr>
            <w:tcW w:w="634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147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D7112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671F4" w:rsidTr="000671F4">
        <w:tc>
          <w:tcPr>
            <w:tcW w:w="634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9" w:anchor="P173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строки 040</w:t>
              </w:r>
            </w:hyperlink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9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041</w:t>
            </w:r>
          </w:p>
        </w:tc>
        <w:tc>
          <w:tcPr>
            <w:tcW w:w="147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671F4" w:rsidTr="000671F4">
        <w:tc>
          <w:tcPr>
            <w:tcW w:w="634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147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73668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671F4" w:rsidTr="000671F4">
        <w:tc>
          <w:tcPr>
            <w:tcW w:w="634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0" w:anchor="P179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строки 050</w:t>
              </w:r>
            </w:hyperlink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9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051</w:t>
            </w:r>
          </w:p>
        </w:tc>
        <w:tc>
          <w:tcPr>
            <w:tcW w:w="147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736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671F4" w:rsidTr="000671F4">
        <w:tc>
          <w:tcPr>
            <w:tcW w:w="634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060</w:t>
            </w:r>
          </w:p>
        </w:tc>
        <w:tc>
          <w:tcPr>
            <w:tcW w:w="147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 w:rsidP="0036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3618D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671F4" w:rsidTr="000671F4">
        <w:tc>
          <w:tcPr>
            <w:tcW w:w="634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 том числе в соответствии с планом контрольных мероприятий</w:t>
            </w:r>
          </w:p>
        </w:tc>
        <w:tc>
          <w:tcPr>
            <w:tcW w:w="119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061</w:t>
            </w:r>
          </w:p>
        </w:tc>
        <w:tc>
          <w:tcPr>
            <w:tcW w:w="147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 w:rsidP="0036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3618D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671F4" w:rsidTr="000671F4">
        <w:tc>
          <w:tcPr>
            <w:tcW w:w="634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внеплановые обследования</w:t>
            </w:r>
          </w:p>
        </w:tc>
        <w:tc>
          <w:tcPr>
            <w:tcW w:w="119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062</w:t>
            </w:r>
          </w:p>
        </w:tc>
        <w:tc>
          <w:tcPr>
            <w:tcW w:w="147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 w:rsidP="003618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3618D6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0671F4" w:rsidRDefault="000671F4" w:rsidP="000671F4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9"/>
        <w:gridCol w:w="340"/>
        <w:gridCol w:w="1336"/>
        <w:gridCol w:w="340"/>
        <w:gridCol w:w="2665"/>
      </w:tblGrid>
      <w:tr w:rsidR="000671F4" w:rsidTr="000671F4">
        <w:tc>
          <w:tcPr>
            <w:tcW w:w="430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органа контроля</w:t>
            </w:r>
          </w:p>
          <w:p w:rsidR="000671F4" w:rsidRDefault="000671F4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(уполномоченное лицо органа контроля)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736689">
              <w:rPr>
                <w:rFonts w:ascii="Times New Roman" w:eastAsia="Times New Roman" w:hAnsi="Times New Roman" w:cs="Times New Roman"/>
              </w:rPr>
              <w:t xml:space="preserve"> Т.В. Макарова</w:t>
            </w:r>
          </w:p>
        </w:tc>
      </w:tr>
      <w:tr w:rsidR="000671F4" w:rsidTr="000671F4">
        <w:tc>
          <w:tcPr>
            <w:tcW w:w="430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6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671F4" w:rsidRDefault="000671F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</w:tbl>
    <w:p w:rsidR="00E02FAA" w:rsidRDefault="00E02FAA"/>
    <w:p w:rsidR="0070524E" w:rsidRDefault="0070524E"/>
    <w:p w:rsidR="0070524E" w:rsidRDefault="0070524E"/>
    <w:p w:rsidR="0070524E" w:rsidRDefault="0070524E" w:rsidP="0070524E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0524E" w:rsidRDefault="0070524E" w:rsidP="0070524E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0524E" w:rsidRDefault="0070524E" w:rsidP="0070524E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0524E" w:rsidRDefault="0070524E" w:rsidP="0070524E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0524E" w:rsidRDefault="0070524E" w:rsidP="0070524E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0524E" w:rsidRDefault="0070524E" w:rsidP="0070524E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0524E" w:rsidRDefault="0070524E" w:rsidP="0070524E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0524E" w:rsidRDefault="0070524E" w:rsidP="0070524E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0524E" w:rsidRDefault="0070524E" w:rsidP="0070524E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0524E" w:rsidRDefault="0070524E" w:rsidP="0070524E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0524E" w:rsidRDefault="0070524E" w:rsidP="0070524E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0524E" w:rsidRDefault="0070524E" w:rsidP="0070524E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0524E" w:rsidRDefault="0070524E" w:rsidP="0070524E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0524E" w:rsidRDefault="0070524E" w:rsidP="0070524E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0524E" w:rsidRDefault="0070524E" w:rsidP="0070524E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0524E" w:rsidRDefault="0070524E" w:rsidP="0070524E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0524E" w:rsidRDefault="0070524E" w:rsidP="0070524E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0524E" w:rsidRDefault="0070524E" w:rsidP="0070524E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0524E" w:rsidRDefault="0070524E" w:rsidP="0070524E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0524E" w:rsidRDefault="0070524E" w:rsidP="0070524E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F53CB" w:rsidRDefault="008F53CB" w:rsidP="0070524E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F53CB" w:rsidRDefault="008F53CB" w:rsidP="0070524E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F53CB" w:rsidRDefault="008F53CB" w:rsidP="0070524E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F53CB" w:rsidRDefault="008F53CB" w:rsidP="0070524E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F53CB" w:rsidRDefault="008F53CB" w:rsidP="0070524E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F53CB" w:rsidRDefault="008F53CB" w:rsidP="0070524E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F53CB" w:rsidRDefault="008F53CB" w:rsidP="0070524E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85005" w:rsidRDefault="00885005" w:rsidP="0070524E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85005" w:rsidRDefault="00885005" w:rsidP="0070524E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0524E" w:rsidRPr="00406BF7" w:rsidRDefault="0070524E" w:rsidP="0070524E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06BF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№20</w:t>
      </w:r>
    </w:p>
    <w:p w:rsidR="0070524E" w:rsidRDefault="0070524E" w:rsidP="0070524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ведомственному стандарту </w:t>
      </w:r>
    </w:p>
    <w:p w:rsidR="0070524E" w:rsidRDefault="0070524E" w:rsidP="0070524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осуществления МКУ «Финансовое управление </w:t>
      </w:r>
    </w:p>
    <w:p w:rsidR="0070524E" w:rsidRDefault="0070524E" w:rsidP="0070524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Сызранского</w:t>
      </w:r>
      <w:proofErr w:type="spellEnd"/>
      <w:r>
        <w:rPr>
          <w:sz w:val="20"/>
          <w:szCs w:val="20"/>
        </w:rPr>
        <w:t xml:space="preserve"> района</w:t>
      </w:r>
    </w:p>
    <w:p w:rsidR="0070524E" w:rsidRDefault="0070524E" w:rsidP="0070524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Самарской области </w:t>
      </w:r>
    </w:p>
    <w:p w:rsidR="0070524E" w:rsidRDefault="0070524E" w:rsidP="0070524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полномочий по </w:t>
      </w:r>
      <w:proofErr w:type="gramStart"/>
      <w:r>
        <w:rPr>
          <w:sz w:val="20"/>
          <w:szCs w:val="20"/>
        </w:rPr>
        <w:t>внутреннему</w:t>
      </w:r>
      <w:proofErr w:type="gramEnd"/>
      <w:r>
        <w:rPr>
          <w:sz w:val="20"/>
          <w:szCs w:val="20"/>
        </w:rPr>
        <w:t xml:space="preserve"> муниципальному </w:t>
      </w:r>
    </w:p>
    <w:p w:rsidR="0070524E" w:rsidRDefault="0070524E" w:rsidP="0070524E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710A6E">
        <w:rPr>
          <w:sz w:val="20"/>
          <w:szCs w:val="20"/>
        </w:rPr>
        <w:t xml:space="preserve">финансовому </w:t>
      </w:r>
      <w:r>
        <w:rPr>
          <w:sz w:val="20"/>
          <w:szCs w:val="20"/>
        </w:rPr>
        <w:t>к</w:t>
      </w:r>
      <w:r w:rsidRPr="00710A6E">
        <w:rPr>
          <w:sz w:val="20"/>
          <w:szCs w:val="20"/>
        </w:rPr>
        <w:t>онтролю</w:t>
      </w:r>
    </w:p>
    <w:p w:rsidR="0070524E" w:rsidRDefault="0070524E" w:rsidP="0070524E"/>
    <w:p w:rsidR="0070524E" w:rsidRDefault="0070524E" w:rsidP="007052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39EB">
        <w:rPr>
          <w:rFonts w:ascii="Times New Roman" w:hAnsi="Times New Roman" w:cs="Times New Roman"/>
          <w:sz w:val="28"/>
          <w:szCs w:val="28"/>
        </w:rPr>
        <w:t>Пояснительная записка к отчету о результатах деятельности органа внутреннего муниципального  контроля  на 01</w:t>
      </w:r>
      <w:r w:rsidR="00484FF9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3D39EB">
        <w:rPr>
          <w:rFonts w:ascii="Times New Roman" w:hAnsi="Times New Roman" w:cs="Times New Roman"/>
          <w:sz w:val="28"/>
          <w:szCs w:val="28"/>
        </w:rPr>
        <w:t xml:space="preserve"> 20</w:t>
      </w:r>
      <w:r w:rsidR="009F60DA">
        <w:rPr>
          <w:rFonts w:ascii="Times New Roman" w:hAnsi="Times New Roman" w:cs="Times New Roman"/>
          <w:sz w:val="28"/>
          <w:szCs w:val="28"/>
        </w:rPr>
        <w:t>22</w:t>
      </w:r>
      <w:r w:rsidRPr="003D39E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0524E" w:rsidRPr="003D39EB" w:rsidRDefault="0070524E" w:rsidP="007052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39EB">
        <w:rPr>
          <w:rFonts w:ascii="Times New Roman" w:hAnsi="Times New Roman" w:cs="Times New Roman"/>
          <w:sz w:val="28"/>
          <w:szCs w:val="28"/>
        </w:rPr>
        <w:t xml:space="preserve">МКУ «Финансовое управление администрации </w:t>
      </w:r>
      <w:proofErr w:type="spellStart"/>
      <w:r w:rsidRPr="003D39EB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3D39EB">
        <w:rPr>
          <w:rFonts w:ascii="Times New Roman" w:hAnsi="Times New Roman" w:cs="Times New Roman"/>
          <w:sz w:val="28"/>
          <w:szCs w:val="28"/>
        </w:rPr>
        <w:t xml:space="preserve"> района Самарской области».</w:t>
      </w:r>
    </w:p>
    <w:p w:rsidR="0070524E" w:rsidRDefault="0070524E" w:rsidP="0070524E">
      <w:pPr>
        <w:spacing w:after="0"/>
      </w:pPr>
    </w:p>
    <w:p w:rsidR="0070524E" w:rsidRDefault="0070524E" w:rsidP="0070524E"/>
    <w:tbl>
      <w:tblPr>
        <w:tblStyle w:val="a4"/>
        <w:tblW w:w="9747" w:type="dxa"/>
        <w:tblLook w:val="04A0"/>
      </w:tblPr>
      <w:tblGrid>
        <w:gridCol w:w="7905"/>
        <w:gridCol w:w="1842"/>
      </w:tblGrid>
      <w:tr w:rsidR="0070524E" w:rsidTr="00326D67">
        <w:tc>
          <w:tcPr>
            <w:tcW w:w="7905" w:type="dxa"/>
          </w:tcPr>
          <w:p w:rsidR="0070524E" w:rsidRPr="00C93F5D" w:rsidRDefault="0070524E" w:rsidP="0032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2" w:type="dxa"/>
          </w:tcPr>
          <w:p w:rsidR="0070524E" w:rsidRPr="00C93F5D" w:rsidRDefault="0070524E" w:rsidP="0032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D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0524E" w:rsidRPr="00C93F5D" w:rsidTr="00326D67">
        <w:tc>
          <w:tcPr>
            <w:tcW w:w="7905" w:type="dxa"/>
          </w:tcPr>
          <w:p w:rsidR="0070524E" w:rsidRPr="00C93F5D" w:rsidRDefault="0070524E" w:rsidP="00326D67">
            <w:pPr>
              <w:ind w:right="-28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органа контроля трудовыми ресурсами, (чел.) в том числе:</w:t>
            </w:r>
          </w:p>
        </w:tc>
        <w:tc>
          <w:tcPr>
            <w:tcW w:w="1842" w:type="dxa"/>
          </w:tcPr>
          <w:p w:rsidR="0070524E" w:rsidRPr="00C93F5D" w:rsidRDefault="0070524E" w:rsidP="0032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4E" w:rsidRPr="00C93F5D" w:rsidTr="00326D67">
        <w:tc>
          <w:tcPr>
            <w:tcW w:w="7905" w:type="dxa"/>
          </w:tcPr>
          <w:p w:rsidR="0070524E" w:rsidRPr="00C93F5D" w:rsidRDefault="0070524E" w:rsidP="0032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штатная численность</w:t>
            </w:r>
          </w:p>
        </w:tc>
        <w:tc>
          <w:tcPr>
            <w:tcW w:w="1842" w:type="dxa"/>
          </w:tcPr>
          <w:p w:rsidR="0070524E" w:rsidRPr="00C93F5D" w:rsidRDefault="00484FF9" w:rsidP="0032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24E" w:rsidRPr="00C93F5D" w:rsidTr="00326D67">
        <w:tc>
          <w:tcPr>
            <w:tcW w:w="7905" w:type="dxa"/>
          </w:tcPr>
          <w:p w:rsidR="0070524E" w:rsidRPr="00C93F5D" w:rsidRDefault="0070524E" w:rsidP="0032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должностных лиц принимающих участие в осуществлении контрольных мероприятий</w:t>
            </w:r>
          </w:p>
        </w:tc>
        <w:tc>
          <w:tcPr>
            <w:tcW w:w="1842" w:type="dxa"/>
          </w:tcPr>
          <w:p w:rsidR="0070524E" w:rsidRPr="00C93F5D" w:rsidRDefault="009F60DA" w:rsidP="0032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524E" w:rsidRPr="00C93F5D" w:rsidTr="00326D67">
        <w:tc>
          <w:tcPr>
            <w:tcW w:w="7905" w:type="dxa"/>
          </w:tcPr>
          <w:p w:rsidR="0070524E" w:rsidRPr="00C93F5D" w:rsidRDefault="0070524E" w:rsidP="0032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вакантных должностей муниципальной службы внутреннего муниципального контроля</w:t>
            </w:r>
          </w:p>
        </w:tc>
        <w:tc>
          <w:tcPr>
            <w:tcW w:w="1842" w:type="dxa"/>
          </w:tcPr>
          <w:p w:rsidR="0070524E" w:rsidRPr="00C93F5D" w:rsidRDefault="00484FF9" w:rsidP="0032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524E" w:rsidRPr="00C93F5D" w:rsidTr="00326D67">
        <w:tc>
          <w:tcPr>
            <w:tcW w:w="7905" w:type="dxa"/>
          </w:tcPr>
          <w:p w:rsidR="0070524E" w:rsidRPr="00C93F5D" w:rsidRDefault="0070524E" w:rsidP="0032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средств,  затраченных на содержание органа контроля (тыс. руб.)</w:t>
            </w:r>
            <w:r w:rsidR="00484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0524E" w:rsidRPr="00C93F5D" w:rsidRDefault="009F60DA" w:rsidP="0032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761,00</w:t>
            </w:r>
          </w:p>
        </w:tc>
      </w:tr>
      <w:tr w:rsidR="0070524E" w:rsidRPr="00C93F5D" w:rsidTr="00326D67">
        <w:tc>
          <w:tcPr>
            <w:tcW w:w="7905" w:type="dxa"/>
          </w:tcPr>
          <w:p w:rsidR="0070524E" w:rsidRPr="00C93F5D" w:rsidRDefault="0070524E" w:rsidP="0032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средств, затраченных при назначении экспертиз, необходимых для проведения контрольных мероприятий  и привлечении независимых экспертов (тыс. руб.). </w:t>
            </w:r>
          </w:p>
        </w:tc>
        <w:tc>
          <w:tcPr>
            <w:tcW w:w="1842" w:type="dxa"/>
          </w:tcPr>
          <w:p w:rsidR="0070524E" w:rsidRPr="00C93F5D" w:rsidRDefault="00484FF9" w:rsidP="0032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0524E" w:rsidRPr="00C93F5D" w:rsidTr="00326D67">
        <w:tc>
          <w:tcPr>
            <w:tcW w:w="7905" w:type="dxa"/>
          </w:tcPr>
          <w:p w:rsidR="0070524E" w:rsidRPr="00C93F5D" w:rsidRDefault="0070524E" w:rsidP="0032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нарушений, выявленных органом контроля  (шт.)</w:t>
            </w:r>
          </w:p>
        </w:tc>
        <w:tc>
          <w:tcPr>
            <w:tcW w:w="1842" w:type="dxa"/>
          </w:tcPr>
          <w:p w:rsidR="0070524E" w:rsidRPr="00C93F5D" w:rsidRDefault="00F8231E" w:rsidP="0032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524E" w:rsidRPr="00C93F5D" w:rsidTr="00326D67">
        <w:tc>
          <w:tcPr>
            <w:tcW w:w="7905" w:type="dxa"/>
          </w:tcPr>
          <w:p w:rsidR="0070524E" w:rsidRDefault="0070524E" w:rsidP="0032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результатов контрольных мероприятий в части:</w:t>
            </w:r>
          </w:p>
        </w:tc>
        <w:tc>
          <w:tcPr>
            <w:tcW w:w="1842" w:type="dxa"/>
          </w:tcPr>
          <w:p w:rsidR="0070524E" w:rsidRPr="00C93F5D" w:rsidRDefault="0070524E" w:rsidP="0032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4E" w:rsidRPr="00C93F5D" w:rsidTr="00326D67">
        <w:tc>
          <w:tcPr>
            <w:tcW w:w="7905" w:type="dxa"/>
          </w:tcPr>
          <w:p w:rsidR="0070524E" w:rsidRDefault="0070524E" w:rsidP="0032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-направленных объектам контроля представлений; </w:t>
            </w:r>
          </w:p>
        </w:tc>
        <w:tc>
          <w:tcPr>
            <w:tcW w:w="1842" w:type="dxa"/>
          </w:tcPr>
          <w:p w:rsidR="0070524E" w:rsidRPr="00C93F5D" w:rsidRDefault="00F8231E" w:rsidP="0032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24E" w:rsidRPr="00C93F5D" w:rsidTr="00326D67">
        <w:tc>
          <w:tcPr>
            <w:tcW w:w="7905" w:type="dxa"/>
          </w:tcPr>
          <w:p w:rsidR="0070524E" w:rsidRDefault="0070524E" w:rsidP="0032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-направленных объектам контроля предписаний;</w:t>
            </w:r>
          </w:p>
        </w:tc>
        <w:tc>
          <w:tcPr>
            <w:tcW w:w="1842" w:type="dxa"/>
          </w:tcPr>
          <w:p w:rsidR="0070524E" w:rsidRPr="00C93F5D" w:rsidRDefault="00F8231E" w:rsidP="0032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24E" w:rsidRPr="00C93F5D" w:rsidTr="00326D67">
        <w:tc>
          <w:tcPr>
            <w:tcW w:w="7905" w:type="dxa"/>
          </w:tcPr>
          <w:p w:rsidR="0070524E" w:rsidRDefault="0070524E" w:rsidP="0032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-информации, направленной органом контроля правоохранительным органам;</w:t>
            </w:r>
          </w:p>
        </w:tc>
        <w:tc>
          <w:tcPr>
            <w:tcW w:w="1842" w:type="dxa"/>
          </w:tcPr>
          <w:p w:rsidR="0070524E" w:rsidRPr="00C93F5D" w:rsidRDefault="00484FF9" w:rsidP="0032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524E" w:rsidRPr="00C93F5D" w:rsidTr="00326D67">
        <w:tc>
          <w:tcPr>
            <w:tcW w:w="7905" w:type="dxa"/>
          </w:tcPr>
          <w:p w:rsidR="0070524E" w:rsidRDefault="0070524E" w:rsidP="0032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информации, направленной органом контроля  в органы прокурорского надзора;</w:t>
            </w:r>
          </w:p>
        </w:tc>
        <w:tc>
          <w:tcPr>
            <w:tcW w:w="1842" w:type="dxa"/>
          </w:tcPr>
          <w:p w:rsidR="0070524E" w:rsidRPr="00C93F5D" w:rsidRDefault="008F53CB" w:rsidP="0032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524E" w:rsidRPr="00C93F5D" w:rsidTr="00326D67">
        <w:tc>
          <w:tcPr>
            <w:tcW w:w="7905" w:type="dxa"/>
          </w:tcPr>
          <w:p w:rsidR="0070524E" w:rsidRDefault="0070524E" w:rsidP="0032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представленным исковым заявлениям, направленными органом контроля в суды;</w:t>
            </w:r>
          </w:p>
        </w:tc>
        <w:tc>
          <w:tcPr>
            <w:tcW w:w="1842" w:type="dxa"/>
          </w:tcPr>
          <w:p w:rsidR="0070524E" w:rsidRPr="00C93F5D" w:rsidRDefault="00484FF9" w:rsidP="0032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524E" w:rsidRPr="00C93F5D" w:rsidTr="00326D67">
        <w:tc>
          <w:tcPr>
            <w:tcW w:w="7905" w:type="dxa"/>
          </w:tcPr>
          <w:p w:rsidR="0070524E" w:rsidRDefault="0070524E" w:rsidP="0032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производства по делам об административных правонарушениях.</w:t>
            </w:r>
          </w:p>
        </w:tc>
        <w:tc>
          <w:tcPr>
            <w:tcW w:w="1842" w:type="dxa"/>
          </w:tcPr>
          <w:p w:rsidR="0070524E" w:rsidRPr="00C93F5D" w:rsidRDefault="00484FF9" w:rsidP="0032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524E" w:rsidRPr="00C93F5D" w:rsidTr="00326D67">
        <w:tc>
          <w:tcPr>
            <w:tcW w:w="7905" w:type="dxa"/>
          </w:tcPr>
          <w:p w:rsidR="0070524E" w:rsidRDefault="0070524E" w:rsidP="0032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и исковые заявления на решения органа контроля</w:t>
            </w:r>
          </w:p>
        </w:tc>
        <w:tc>
          <w:tcPr>
            <w:tcW w:w="1842" w:type="dxa"/>
          </w:tcPr>
          <w:p w:rsidR="0070524E" w:rsidRPr="00C93F5D" w:rsidRDefault="00484FF9" w:rsidP="0032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524E" w:rsidRPr="00C93F5D" w:rsidRDefault="0070524E" w:rsidP="0070524E">
      <w:pPr>
        <w:rPr>
          <w:rFonts w:ascii="Times New Roman" w:hAnsi="Times New Roman" w:cs="Times New Roman"/>
          <w:sz w:val="24"/>
          <w:szCs w:val="24"/>
        </w:rPr>
      </w:pPr>
    </w:p>
    <w:p w:rsidR="0070524E" w:rsidRPr="00407F89" w:rsidRDefault="0070524E" w:rsidP="00705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89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</w:p>
    <w:p w:rsidR="0070524E" w:rsidRPr="00407F89" w:rsidRDefault="0070524E" w:rsidP="00705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89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</w:p>
    <w:p w:rsidR="0070524E" w:rsidRPr="00407F89" w:rsidRDefault="0070524E" w:rsidP="00705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89">
        <w:rPr>
          <w:rFonts w:ascii="Times New Roman" w:hAnsi="Times New Roman" w:cs="Times New Roman"/>
          <w:sz w:val="28"/>
          <w:szCs w:val="28"/>
        </w:rPr>
        <w:t xml:space="preserve">контроля  МКУ «Финансовое управление»           </w:t>
      </w:r>
      <w:r w:rsidR="00407F89">
        <w:rPr>
          <w:rFonts w:ascii="Times New Roman" w:hAnsi="Times New Roman" w:cs="Times New Roman"/>
          <w:sz w:val="28"/>
          <w:szCs w:val="28"/>
        </w:rPr>
        <w:t xml:space="preserve">    </w:t>
      </w:r>
      <w:r w:rsidR="00484FF9" w:rsidRPr="00407F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07F89">
        <w:rPr>
          <w:rFonts w:ascii="Times New Roman" w:hAnsi="Times New Roman" w:cs="Times New Roman"/>
          <w:sz w:val="28"/>
          <w:szCs w:val="28"/>
        </w:rPr>
        <w:t xml:space="preserve">      Т.В. Макарова                   </w:t>
      </w:r>
    </w:p>
    <w:p w:rsidR="0070524E" w:rsidRDefault="0070524E">
      <w:pPr>
        <w:rPr>
          <w:sz w:val="28"/>
          <w:szCs w:val="28"/>
        </w:rPr>
      </w:pPr>
    </w:p>
    <w:p w:rsidR="006033C9" w:rsidRDefault="006033C9">
      <w:pPr>
        <w:rPr>
          <w:sz w:val="28"/>
          <w:szCs w:val="28"/>
        </w:rPr>
      </w:pPr>
    </w:p>
    <w:p w:rsidR="00086FB2" w:rsidRDefault="00086FB2" w:rsidP="00BD30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005" w:rsidRDefault="00885005" w:rsidP="00033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002" w:rsidRDefault="00BD3002" w:rsidP="00033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D3002" w:rsidRDefault="00BD3002" w:rsidP="00033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отчету о результатах контрольной деятельности органа внутреннего муниципального финансового контроля за 202</w:t>
      </w:r>
      <w:r w:rsidR="0038017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B5320" w:rsidRDefault="009B5320" w:rsidP="00033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002" w:rsidRPr="00041893" w:rsidRDefault="00BD3002" w:rsidP="00033E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893">
        <w:rPr>
          <w:rFonts w:ascii="Times New Roman" w:hAnsi="Times New Roman" w:cs="Times New Roman"/>
          <w:b/>
          <w:sz w:val="28"/>
          <w:szCs w:val="28"/>
        </w:rPr>
        <w:t>1. Общ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0418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D3002" w:rsidRDefault="00BD3002" w:rsidP="00BD3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внутреннего муниципального финансового контроля является </w:t>
      </w:r>
      <w:r w:rsidR="00BA0CC5">
        <w:rPr>
          <w:rFonts w:ascii="Times New Roman" w:hAnsi="Times New Roman" w:cs="Times New Roman"/>
          <w:sz w:val="28"/>
          <w:szCs w:val="28"/>
        </w:rPr>
        <w:t>муниципальное казенное учреждение «Ф</w:t>
      </w:r>
      <w:r>
        <w:rPr>
          <w:rFonts w:ascii="Times New Roman" w:hAnsi="Times New Roman" w:cs="Times New Roman"/>
          <w:sz w:val="28"/>
          <w:szCs w:val="28"/>
        </w:rPr>
        <w:t>инансовое управление администрации муниципального района  Сызранский Самарской области</w:t>
      </w:r>
      <w:r w:rsidR="00BA0C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002" w:rsidRDefault="00BD3002" w:rsidP="00BD3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контрольные мероприятия в сфере внутреннего муниципального финансового контроля </w:t>
      </w:r>
      <w:r w:rsidR="00E171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сектор по внутреннему муниципальному финансовому контролю финансового управления (далее – сектор). Штатная численность сектора – 1 штатная единица. Фактическая численность сектора – 1 человек. </w:t>
      </w:r>
      <w:r w:rsidRPr="0057695B">
        <w:rPr>
          <w:rFonts w:ascii="Times New Roman" w:hAnsi="Times New Roman" w:cs="Times New Roman"/>
          <w:sz w:val="28"/>
          <w:szCs w:val="28"/>
        </w:rPr>
        <w:t xml:space="preserve">Объем бюджетных средств, потраченных на содержание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57695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отчетном периоде,</w:t>
      </w:r>
      <w:r w:rsidRPr="0057695B">
        <w:rPr>
          <w:rFonts w:ascii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CC5">
        <w:rPr>
          <w:rFonts w:ascii="Times New Roman" w:hAnsi="Times New Roman" w:cs="Times New Roman"/>
          <w:sz w:val="28"/>
          <w:szCs w:val="28"/>
        </w:rPr>
        <w:t>761,00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93068" w:rsidRPr="00893068" w:rsidRDefault="00893068" w:rsidP="00893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68">
        <w:rPr>
          <w:rFonts w:ascii="Times New Roman" w:hAnsi="Times New Roman" w:cs="Times New Roman"/>
          <w:sz w:val="28"/>
          <w:szCs w:val="28"/>
        </w:rPr>
        <w:t>В 202</w:t>
      </w:r>
      <w:r w:rsidR="00BA0CC5">
        <w:rPr>
          <w:rFonts w:ascii="Times New Roman" w:hAnsi="Times New Roman" w:cs="Times New Roman"/>
          <w:sz w:val="28"/>
          <w:szCs w:val="28"/>
        </w:rPr>
        <w:t>1</w:t>
      </w:r>
      <w:r w:rsidRPr="00893068">
        <w:rPr>
          <w:rFonts w:ascii="Times New Roman" w:hAnsi="Times New Roman" w:cs="Times New Roman"/>
          <w:sz w:val="28"/>
          <w:szCs w:val="28"/>
        </w:rPr>
        <w:t xml:space="preserve"> году на основании утвержденных Правительством Российской Федерации федеральных стандартов внутреннего государственного (муниципального) финансового контроля МКУ «Финансовое управление администрации </w:t>
      </w:r>
      <w:proofErr w:type="spellStart"/>
      <w:r w:rsidRPr="00893068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893068">
        <w:rPr>
          <w:rFonts w:ascii="Times New Roman" w:hAnsi="Times New Roman" w:cs="Times New Roman"/>
          <w:sz w:val="28"/>
          <w:szCs w:val="28"/>
        </w:rPr>
        <w:t xml:space="preserve"> района»  разработан Стандарт, который применяется должностными лицами при осуществлении полномочий по внутреннему муниципальному финансовому контролю.</w:t>
      </w:r>
    </w:p>
    <w:p w:rsidR="00893068" w:rsidRPr="00893068" w:rsidRDefault="00893068" w:rsidP="00893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068">
        <w:rPr>
          <w:rFonts w:ascii="Times New Roman" w:hAnsi="Times New Roman" w:cs="Times New Roman"/>
          <w:sz w:val="28"/>
          <w:szCs w:val="28"/>
        </w:rPr>
        <w:t xml:space="preserve">На основании соглашений о передаче полномочий, заключенных между заключенных между МКУ «Финансовое управление администрации </w:t>
      </w:r>
      <w:proofErr w:type="spellStart"/>
      <w:r w:rsidRPr="00893068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893068">
        <w:rPr>
          <w:rFonts w:ascii="Times New Roman" w:hAnsi="Times New Roman" w:cs="Times New Roman"/>
          <w:sz w:val="28"/>
          <w:szCs w:val="28"/>
        </w:rPr>
        <w:t xml:space="preserve"> района» и администрациями сельских поселений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(далее - Соглашения)</w:t>
      </w:r>
      <w:r w:rsidRPr="00893068">
        <w:rPr>
          <w:rFonts w:ascii="Times New Roman" w:hAnsi="Times New Roman" w:cs="Times New Roman"/>
          <w:sz w:val="28"/>
          <w:szCs w:val="28"/>
        </w:rPr>
        <w:t xml:space="preserve">, МКУ «Финансовое управление </w:t>
      </w:r>
      <w:proofErr w:type="spellStart"/>
      <w:r w:rsidRPr="00893068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893068">
        <w:rPr>
          <w:rFonts w:ascii="Times New Roman" w:hAnsi="Times New Roman" w:cs="Times New Roman"/>
          <w:sz w:val="28"/>
          <w:szCs w:val="28"/>
        </w:rPr>
        <w:t xml:space="preserve"> района Самарской области»  осуществляет внутренний контроль в финансово-бюджетной сфере и сфере </w:t>
      </w:r>
      <w:r w:rsidR="00BA0CC5">
        <w:rPr>
          <w:rFonts w:ascii="Times New Roman" w:hAnsi="Times New Roman" w:cs="Times New Roman"/>
          <w:sz w:val="28"/>
          <w:szCs w:val="28"/>
        </w:rPr>
        <w:t xml:space="preserve">нормирования </w:t>
      </w:r>
      <w:r w:rsidRPr="00893068">
        <w:rPr>
          <w:rFonts w:ascii="Times New Roman" w:hAnsi="Times New Roman" w:cs="Times New Roman"/>
          <w:sz w:val="28"/>
          <w:szCs w:val="28"/>
        </w:rPr>
        <w:t>закупок в администрациях сельских поселений муниципального района</w:t>
      </w:r>
      <w:r w:rsidR="00BA0CC5">
        <w:rPr>
          <w:rFonts w:ascii="Times New Roman" w:hAnsi="Times New Roman" w:cs="Times New Roman"/>
          <w:sz w:val="28"/>
          <w:szCs w:val="28"/>
        </w:rPr>
        <w:t xml:space="preserve"> и управлениях муниципального района Сызранский</w:t>
      </w:r>
      <w:r w:rsidRPr="008930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3068" w:rsidRPr="00893068" w:rsidRDefault="00893068" w:rsidP="008930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068">
        <w:rPr>
          <w:rFonts w:ascii="Times New Roman" w:hAnsi="Times New Roman"/>
          <w:sz w:val="28"/>
          <w:szCs w:val="28"/>
        </w:rPr>
        <w:t>В рамках полномочий по внутреннему муниципальному финансовому контролю</w:t>
      </w:r>
      <w:r w:rsidR="00F31AED">
        <w:rPr>
          <w:rFonts w:ascii="Times New Roman" w:hAnsi="Times New Roman"/>
          <w:sz w:val="28"/>
          <w:szCs w:val="28"/>
        </w:rPr>
        <w:t>,</w:t>
      </w:r>
      <w:r w:rsidRPr="00893068">
        <w:rPr>
          <w:rFonts w:ascii="Times New Roman" w:hAnsi="Times New Roman"/>
          <w:sz w:val="28"/>
          <w:szCs w:val="28"/>
        </w:rPr>
        <w:t xml:space="preserve"> в соответствии со статьей 269.2 Бюджетного кодекса Российской Федерации</w:t>
      </w:r>
      <w:r w:rsidR="00F31AED">
        <w:rPr>
          <w:rFonts w:ascii="Times New Roman" w:hAnsi="Times New Roman"/>
          <w:sz w:val="28"/>
          <w:szCs w:val="28"/>
        </w:rPr>
        <w:t>,</w:t>
      </w:r>
      <w:r w:rsidRPr="00893068">
        <w:rPr>
          <w:rFonts w:ascii="Times New Roman" w:hAnsi="Times New Roman"/>
          <w:sz w:val="28"/>
          <w:szCs w:val="28"/>
        </w:rPr>
        <w:t xml:space="preserve"> МКУ «Финансовое управление администрации </w:t>
      </w:r>
      <w:proofErr w:type="spellStart"/>
      <w:r w:rsidRPr="00893068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Pr="00893068">
        <w:rPr>
          <w:rFonts w:ascii="Times New Roman" w:hAnsi="Times New Roman"/>
          <w:sz w:val="28"/>
          <w:szCs w:val="28"/>
        </w:rPr>
        <w:t xml:space="preserve"> района Самарской области» осуществляет на постоянной основе:</w:t>
      </w:r>
    </w:p>
    <w:p w:rsidR="00893068" w:rsidRPr="00893068" w:rsidRDefault="00893068" w:rsidP="008930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30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3068">
        <w:rPr>
          <w:rFonts w:ascii="Times New Roman" w:hAnsi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893068" w:rsidRPr="00893068" w:rsidRDefault="00893068" w:rsidP="008930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30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3068">
        <w:rPr>
          <w:rFonts w:ascii="Times New Roman" w:hAnsi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893068" w:rsidRPr="00893068" w:rsidRDefault="00893068" w:rsidP="008930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30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3068">
        <w:rPr>
          <w:rFonts w:ascii="Times New Roman" w:hAnsi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="00FA7007">
        <w:rPr>
          <w:rFonts w:ascii="Times New Roman" w:hAnsi="Times New Roman"/>
          <w:sz w:val="28"/>
          <w:szCs w:val="28"/>
        </w:rPr>
        <w:lastRenderedPageBreak/>
        <w:t xml:space="preserve">Бюджетным </w:t>
      </w:r>
      <w:r w:rsidRPr="00893068">
        <w:rPr>
          <w:rFonts w:ascii="Times New Roman" w:hAnsi="Times New Roman"/>
          <w:sz w:val="28"/>
          <w:szCs w:val="28"/>
        </w:rPr>
        <w:t>Кодексом, условий договоров (соглашений), заключенных в целях исполнения государственных (муниципальных) контрактов;</w:t>
      </w:r>
    </w:p>
    <w:p w:rsidR="00893068" w:rsidRPr="00893068" w:rsidRDefault="00893068" w:rsidP="008930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93068">
        <w:rPr>
          <w:rFonts w:ascii="Times New Roman" w:hAnsi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893068">
        <w:rPr>
          <w:rFonts w:ascii="Times New Roman" w:hAnsi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893068">
        <w:rPr>
          <w:rFonts w:ascii="Times New Roman" w:hAnsi="Times New Roman"/>
          <w:sz w:val="28"/>
          <w:szCs w:val="28"/>
        </w:rPr>
        <w:t xml:space="preserve"> из бюджета;</w:t>
      </w:r>
    </w:p>
    <w:p w:rsidR="00893068" w:rsidRPr="00893068" w:rsidRDefault="00893068" w:rsidP="008930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93068">
        <w:rPr>
          <w:rFonts w:ascii="Times New Roman" w:hAnsi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93068" w:rsidRPr="00893068" w:rsidRDefault="00893068" w:rsidP="00893068">
      <w:pPr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30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3068">
        <w:rPr>
          <w:rFonts w:ascii="Times New Roman" w:hAnsi="Times New Roman"/>
          <w:sz w:val="28"/>
          <w:szCs w:val="28"/>
        </w:rPr>
        <w:t xml:space="preserve"> состоянием учета и сохранностью денежных средств, товарно-материальных ценностей, ценных бумаг, наличием соответственно оформленных кассовых, банковских и других бухгалтерских документов и их правомерностью, за сохранностью, целевым и эффективным использованием имущества.</w:t>
      </w:r>
    </w:p>
    <w:p w:rsidR="00893068" w:rsidRPr="00FA7007" w:rsidRDefault="00893068" w:rsidP="00FA7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007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отношении:</w:t>
      </w:r>
    </w:p>
    <w:p w:rsidR="00893068" w:rsidRPr="00FA7007" w:rsidRDefault="00893068" w:rsidP="00FA7007">
      <w:pPr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FA7007">
        <w:rPr>
          <w:rFonts w:ascii="Times New Roman" w:hAnsi="Times New Roman"/>
          <w:sz w:val="28"/>
          <w:szCs w:val="28"/>
        </w:rPr>
        <w:t>главных распорядителей (получателей) средств бюджета муниципального района Сызранский, главных администраторов (администраторов) доходов бюджета муниципального района Сызранский, главных администраторов (администраторов) источников финансирования дефицита бюджета муниципального района Сызранский;</w:t>
      </w:r>
    </w:p>
    <w:p w:rsidR="00893068" w:rsidRPr="00FA7007" w:rsidRDefault="00893068" w:rsidP="00FA7007">
      <w:pPr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FA7007">
        <w:rPr>
          <w:rFonts w:ascii="Times New Roman" w:hAnsi="Times New Roman"/>
          <w:sz w:val="28"/>
          <w:szCs w:val="28"/>
        </w:rPr>
        <w:t xml:space="preserve">муниципальных учреждений муниципального района Сызранский; </w:t>
      </w:r>
    </w:p>
    <w:p w:rsidR="00893068" w:rsidRPr="00FA7007" w:rsidRDefault="00893068" w:rsidP="00FA7007">
      <w:pPr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FA7007">
        <w:rPr>
          <w:rFonts w:ascii="Times New Roman" w:hAnsi="Times New Roman"/>
          <w:sz w:val="28"/>
          <w:szCs w:val="28"/>
        </w:rPr>
        <w:t xml:space="preserve">муниципальных унитарных предприятий муниципального района Сызранский; </w:t>
      </w:r>
    </w:p>
    <w:p w:rsidR="00893068" w:rsidRPr="00FA7007" w:rsidRDefault="00893068" w:rsidP="00FA7007">
      <w:pPr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FA7007">
        <w:rPr>
          <w:rFonts w:ascii="Times New Roman" w:hAnsi="Times New Roman"/>
          <w:sz w:val="28"/>
          <w:szCs w:val="28"/>
        </w:rPr>
        <w:t xml:space="preserve">юридических лиц, индивидуальных предпринимателей, физических лиц в части соблюдения ими условий договоров (соглашений) о предоставлении средств из бюджета муниципального района </w:t>
      </w:r>
      <w:r w:rsidR="0064241C" w:rsidRPr="00FA7007">
        <w:rPr>
          <w:rFonts w:ascii="Times New Roman" w:hAnsi="Times New Roman"/>
          <w:sz w:val="28"/>
          <w:szCs w:val="28"/>
        </w:rPr>
        <w:t>Сызранский</w:t>
      </w:r>
      <w:r w:rsidRPr="00FA7007">
        <w:rPr>
          <w:rFonts w:ascii="Times New Roman" w:hAnsi="Times New Roman"/>
          <w:sz w:val="28"/>
          <w:szCs w:val="28"/>
        </w:rPr>
        <w:t>, договоров (соглашений) о предоставлении муниципальных гарантий.</w:t>
      </w:r>
    </w:p>
    <w:p w:rsidR="00FA7007" w:rsidRPr="00FA7007" w:rsidRDefault="00FA7007" w:rsidP="00FA7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7007">
        <w:rPr>
          <w:rFonts w:ascii="Times New Roman" w:hAnsi="Times New Roman"/>
          <w:sz w:val="28"/>
          <w:szCs w:val="28"/>
        </w:rPr>
        <w:t xml:space="preserve">МКУ «Финансовое управление администрации </w:t>
      </w:r>
      <w:proofErr w:type="spellStart"/>
      <w:r w:rsidRPr="00FA7007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Pr="00FA7007">
        <w:rPr>
          <w:rFonts w:ascii="Times New Roman" w:hAnsi="Times New Roman"/>
          <w:sz w:val="28"/>
          <w:szCs w:val="28"/>
        </w:rPr>
        <w:t xml:space="preserve"> района Самарской области», при осуществлении полномочий по внутреннему муниципальному финансовому контролю:</w:t>
      </w:r>
    </w:p>
    <w:p w:rsidR="00FA7007" w:rsidRPr="00FA7007" w:rsidRDefault="00FA7007" w:rsidP="00FA7007">
      <w:pPr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FA7007">
        <w:rPr>
          <w:rFonts w:ascii="Times New Roman" w:hAnsi="Times New Roman"/>
          <w:sz w:val="28"/>
          <w:szCs w:val="28"/>
        </w:rPr>
        <w:t>проводит  проверки, ревизии и обследования;</w:t>
      </w:r>
    </w:p>
    <w:p w:rsidR="00FA7007" w:rsidRPr="00FA7007" w:rsidRDefault="00FA7007" w:rsidP="00FA7007">
      <w:pPr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FA7007">
        <w:rPr>
          <w:rFonts w:ascii="Times New Roman" w:hAnsi="Times New Roman"/>
          <w:sz w:val="28"/>
          <w:szCs w:val="28"/>
        </w:rPr>
        <w:t>направляет объектам контроля акты, заключения, представления и (или) предписания;</w:t>
      </w:r>
    </w:p>
    <w:p w:rsidR="00FA7007" w:rsidRPr="00FA7007" w:rsidRDefault="00FA7007" w:rsidP="00FA7007">
      <w:pPr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FA7007">
        <w:rPr>
          <w:rFonts w:ascii="Times New Roman" w:hAnsi="Times New Roman"/>
          <w:sz w:val="28"/>
          <w:szCs w:val="28"/>
        </w:rPr>
        <w:t xml:space="preserve">направляет органам прокуратуры </w:t>
      </w:r>
      <w:proofErr w:type="spellStart"/>
      <w:r w:rsidRPr="00FA7007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Pr="00FA7007">
        <w:rPr>
          <w:rFonts w:ascii="Times New Roman" w:hAnsi="Times New Roman"/>
          <w:sz w:val="28"/>
          <w:szCs w:val="28"/>
        </w:rPr>
        <w:t xml:space="preserve"> района копии актов проверок.</w:t>
      </w:r>
    </w:p>
    <w:p w:rsidR="00FA7007" w:rsidRPr="00FA7007" w:rsidRDefault="00FA7007" w:rsidP="00FA7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007">
        <w:rPr>
          <w:rFonts w:ascii="Times New Roman" w:hAnsi="Times New Roman"/>
          <w:sz w:val="28"/>
          <w:szCs w:val="28"/>
        </w:rPr>
        <w:t>Основные цели проводимых контрольных мероприятий:</w:t>
      </w:r>
    </w:p>
    <w:p w:rsidR="00FA7007" w:rsidRPr="00FA7007" w:rsidRDefault="00FA7007" w:rsidP="00FA7007">
      <w:pPr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7007">
        <w:rPr>
          <w:rFonts w:ascii="Times New Roman" w:hAnsi="Times New Roman"/>
          <w:sz w:val="28"/>
          <w:szCs w:val="28"/>
        </w:rPr>
        <w:t xml:space="preserve">определение правомерности, целевого характера, эффективности и экономности использования средств бюджета муниципального района Сызранский и бюджетов сельских поселений района, повышение доступности и качества муниципальных услуг, обеспечения прозрачности </w:t>
      </w:r>
      <w:r w:rsidRPr="00FA7007">
        <w:rPr>
          <w:rFonts w:ascii="Times New Roman" w:hAnsi="Times New Roman"/>
          <w:sz w:val="28"/>
          <w:szCs w:val="28"/>
        </w:rPr>
        <w:lastRenderedPageBreak/>
        <w:t>достигнутых показателей, эффективности выполнения муниципальных заданий, предупреждения и выявления нарушений законодательства Российской Федерации и иных нормативных правовых актов Российской Федерации о контрактной системе в сфере закупок, а так же эффективного использования бюджетных средств и</w:t>
      </w:r>
      <w:proofErr w:type="gramEnd"/>
      <w:r w:rsidRPr="00FA7007">
        <w:rPr>
          <w:rFonts w:ascii="Times New Roman" w:hAnsi="Times New Roman"/>
          <w:sz w:val="28"/>
          <w:szCs w:val="28"/>
        </w:rPr>
        <w:t xml:space="preserve"> достижения заданных результатов с использованием наименьшего объема средств.</w:t>
      </w:r>
    </w:p>
    <w:p w:rsidR="00FA7007" w:rsidRPr="00FA7007" w:rsidRDefault="00FA7007" w:rsidP="00FA7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007">
        <w:rPr>
          <w:rFonts w:ascii="Times New Roman" w:hAnsi="Times New Roman"/>
          <w:sz w:val="28"/>
          <w:szCs w:val="28"/>
        </w:rPr>
        <w:t xml:space="preserve">Ожидаемый результат - снижение количества нарушений, усиление ответственности и, как следствие, улучшение показателей контролируемого процесса (финансово-хозяйственной деятельности, в том числе закупочной). </w:t>
      </w:r>
    </w:p>
    <w:p w:rsidR="00893068" w:rsidRPr="00FA7007" w:rsidRDefault="00893068" w:rsidP="00FA7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002" w:rsidRPr="00CC2F3F" w:rsidRDefault="00BD3002" w:rsidP="00BD30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F3F">
        <w:rPr>
          <w:rFonts w:ascii="Times New Roman" w:hAnsi="Times New Roman" w:cs="Times New Roman"/>
          <w:b/>
          <w:sz w:val="28"/>
          <w:szCs w:val="28"/>
        </w:rPr>
        <w:t>2. Информация о контрольных мероприятиях</w:t>
      </w:r>
    </w:p>
    <w:p w:rsidR="00BD3002" w:rsidRDefault="00BD3002" w:rsidP="00BD3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плану </w:t>
      </w:r>
      <w:r w:rsidRPr="00CC2F3F">
        <w:rPr>
          <w:rFonts w:ascii="Times New Roman" w:hAnsi="Times New Roman" w:cs="Times New Roman"/>
          <w:sz w:val="28"/>
          <w:szCs w:val="28"/>
        </w:rPr>
        <w:t>контрольных мероприятий по внутреннему муниципальному финансовому контролю на 202</w:t>
      </w:r>
      <w:r w:rsidR="00BA0CC5">
        <w:rPr>
          <w:rFonts w:ascii="Times New Roman" w:hAnsi="Times New Roman" w:cs="Times New Roman"/>
          <w:sz w:val="28"/>
          <w:szCs w:val="28"/>
        </w:rPr>
        <w:t>1</w:t>
      </w:r>
      <w:r w:rsidRPr="00CC2F3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было запланировано </w:t>
      </w:r>
      <w:r w:rsidR="00BA0CC5">
        <w:rPr>
          <w:rFonts w:ascii="Times New Roman" w:hAnsi="Times New Roman" w:cs="Times New Roman"/>
          <w:sz w:val="28"/>
          <w:szCs w:val="28"/>
        </w:rPr>
        <w:t>7</w:t>
      </w:r>
      <w:r w:rsidR="00685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 (</w:t>
      </w:r>
      <w:r w:rsidR="00BA0CC5">
        <w:rPr>
          <w:rFonts w:ascii="Times New Roman" w:hAnsi="Times New Roman" w:cs="Times New Roman"/>
          <w:sz w:val="28"/>
          <w:szCs w:val="28"/>
        </w:rPr>
        <w:t>7</w:t>
      </w:r>
      <w:r w:rsidR="0068572C">
        <w:rPr>
          <w:rFonts w:ascii="Times New Roman" w:hAnsi="Times New Roman" w:cs="Times New Roman"/>
          <w:sz w:val="28"/>
          <w:szCs w:val="28"/>
        </w:rPr>
        <w:t xml:space="preserve"> </w:t>
      </w:r>
      <w:r w:rsidR="00BA0CC5">
        <w:rPr>
          <w:rFonts w:ascii="Times New Roman" w:hAnsi="Times New Roman" w:cs="Times New Roman"/>
          <w:sz w:val="28"/>
          <w:szCs w:val="28"/>
        </w:rPr>
        <w:t>ревизий и проверок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BA0CC5">
        <w:rPr>
          <w:rFonts w:ascii="Times New Roman" w:hAnsi="Times New Roman" w:cs="Times New Roman"/>
          <w:sz w:val="28"/>
          <w:szCs w:val="28"/>
        </w:rPr>
        <w:t xml:space="preserve"> Одно мероприятие проведено вне плана. </w:t>
      </w:r>
      <w:r>
        <w:rPr>
          <w:rFonts w:ascii="Times New Roman" w:hAnsi="Times New Roman" w:cs="Times New Roman"/>
          <w:sz w:val="28"/>
          <w:szCs w:val="28"/>
        </w:rPr>
        <w:t>План 202</w:t>
      </w:r>
      <w:r w:rsidR="00BA0C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выполнен в полном объеме - все запланированные мероприятия проведены.</w:t>
      </w:r>
    </w:p>
    <w:p w:rsidR="00BD3002" w:rsidRDefault="00BD3002" w:rsidP="00BD3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осуществления сектором полномочий в сфере внутреннего муниципального финансового контроля к проведению контрольных мероприятий независимые эксперты (специализированные экспертные организации) не привлекались, экспертизы не назначались, в связи с чем, </w:t>
      </w:r>
      <w:r w:rsidRPr="00E1098E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на данные услуги не производились.</w:t>
      </w:r>
    </w:p>
    <w:p w:rsidR="00BD3002" w:rsidRDefault="00BD3002" w:rsidP="00BD3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002" w:rsidRPr="00050769" w:rsidRDefault="00BD3002" w:rsidP="00BD30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69">
        <w:rPr>
          <w:rFonts w:ascii="Times New Roman" w:hAnsi="Times New Roman" w:cs="Times New Roman"/>
          <w:b/>
          <w:sz w:val="28"/>
          <w:szCs w:val="28"/>
        </w:rPr>
        <w:t>3. Результаты контрольных мероприятий</w:t>
      </w:r>
    </w:p>
    <w:p w:rsidR="00BD3002" w:rsidRPr="00050769" w:rsidRDefault="00BD3002" w:rsidP="00BD3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69">
        <w:rPr>
          <w:rFonts w:ascii="Times New Roman" w:hAnsi="Times New Roman" w:cs="Times New Roman"/>
          <w:sz w:val="28"/>
          <w:szCs w:val="28"/>
        </w:rPr>
        <w:t>В ходе проведенных контрольных мероприятий были выявлены следующие нарушения:</w:t>
      </w:r>
    </w:p>
    <w:p w:rsidR="00BD3002" w:rsidRPr="00050769" w:rsidRDefault="00BD3002" w:rsidP="00BD3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69">
        <w:rPr>
          <w:rFonts w:ascii="Times New Roman" w:hAnsi="Times New Roman" w:cs="Times New Roman"/>
          <w:sz w:val="28"/>
          <w:szCs w:val="28"/>
        </w:rPr>
        <w:t>-</w:t>
      </w:r>
      <w:r w:rsidR="00BA0CC5">
        <w:rPr>
          <w:rFonts w:ascii="Times New Roman" w:hAnsi="Times New Roman" w:cs="Times New Roman"/>
          <w:sz w:val="28"/>
          <w:szCs w:val="28"/>
        </w:rPr>
        <w:t>18</w:t>
      </w:r>
      <w:r w:rsidRPr="00050769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BA0CC5">
        <w:rPr>
          <w:rFonts w:ascii="Times New Roman" w:hAnsi="Times New Roman" w:cs="Times New Roman"/>
          <w:sz w:val="28"/>
          <w:szCs w:val="28"/>
        </w:rPr>
        <w:t>й</w:t>
      </w:r>
      <w:r w:rsidRPr="00050769">
        <w:rPr>
          <w:rFonts w:ascii="Times New Roman" w:hAnsi="Times New Roman" w:cs="Times New Roman"/>
          <w:sz w:val="28"/>
          <w:szCs w:val="28"/>
        </w:rPr>
        <w:t xml:space="preserve"> правовых актов, устанавливающих требования к бюджетному (бухгалтерскому) учету, составлению и представлению бухгалтерской (финансовой) отчетности</w:t>
      </w:r>
      <w:r w:rsidR="00050769" w:rsidRPr="00050769">
        <w:rPr>
          <w:rFonts w:ascii="Times New Roman" w:hAnsi="Times New Roman" w:cs="Times New Roman"/>
          <w:sz w:val="28"/>
          <w:szCs w:val="28"/>
        </w:rPr>
        <w:t>;</w:t>
      </w:r>
      <w:r w:rsidRPr="0005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002" w:rsidRPr="00050769" w:rsidRDefault="00BD3002" w:rsidP="00BD3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69">
        <w:rPr>
          <w:rFonts w:ascii="Times New Roman" w:hAnsi="Times New Roman" w:cs="Times New Roman"/>
          <w:sz w:val="28"/>
          <w:szCs w:val="28"/>
        </w:rPr>
        <w:t xml:space="preserve">- </w:t>
      </w:r>
      <w:r w:rsidR="00BA0CC5">
        <w:rPr>
          <w:rFonts w:ascii="Times New Roman" w:hAnsi="Times New Roman" w:cs="Times New Roman"/>
          <w:sz w:val="28"/>
          <w:szCs w:val="28"/>
        </w:rPr>
        <w:t>4</w:t>
      </w:r>
      <w:r w:rsidRPr="00050769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BA0CC5">
        <w:rPr>
          <w:rFonts w:ascii="Times New Roman" w:hAnsi="Times New Roman" w:cs="Times New Roman"/>
          <w:sz w:val="28"/>
          <w:szCs w:val="28"/>
        </w:rPr>
        <w:t>я</w:t>
      </w:r>
      <w:r w:rsidRPr="00050769">
        <w:rPr>
          <w:rFonts w:ascii="Times New Roman" w:hAnsi="Times New Roman" w:cs="Times New Roman"/>
          <w:sz w:val="28"/>
          <w:szCs w:val="28"/>
        </w:rPr>
        <w:t xml:space="preserve"> трудового законодательства, а именно нарушения при предоставлении отпусков сотрудникам учреждения и расчете средней заработной</w:t>
      </w:r>
      <w:r w:rsidR="00050769" w:rsidRPr="00050769">
        <w:rPr>
          <w:rFonts w:ascii="Times New Roman" w:hAnsi="Times New Roman" w:cs="Times New Roman"/>
          <w:sz w:val="28"/>
          <w:szCs w:val="28"/>
        </w:rPr>
        <w:t xml:space="preserve"> платы при исчислении отпускных.</w:t>
      </w:r>
    </w:p>
    <w:p w:rsidR="00BD3002" w:rsidRDefault="00BD3002" w:rsidP="00685F7F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наличием выявленных нарушений, объ</w:t>
      </w:r>
      <w:r w:rsidR="006D2ED5">
        <w:rPr>
          <w:sz w:val="28"/>
          <w:szCs w:val="28"/>
        </w:rPr>
        <w:t xml:space="preserve">ектам контроля было направлено </w:t>
      </w:r>
      <w:r w:rsidR="00BA0CC5">
        <w:rPr>
          <w:sz w:val="28"/>
          <w:szCs w:val="28"/>
        </w:rPr>
        <w:t>2</w:t>
      </w:r>
      <w:r w:rsidR="006D2ED5">
        <w:rPr>
          <w:sz w:val="28"/>
          <w:szCs w:val="28"/>
        </w:rPr>
        <w:t xml:space="preserve"> представлени</w:t>
      </w:r>
      <w:r w:rsidR="00BA0CC5">
        <w:rPr>
          <w:sz w:val="28"/>
          <w:szCs w:val="28"/>
        </w:rPr>
        <w:t xml:space="preserve">я </w:t>
      </w:r>
      <w:r w:rsidR="006D2ED5">
        <w:rPr>
          <w:sz w:val="28"/>
          <w:szCs w:val="28"/>
        </w:rPr>
        <w:t xml:space="preserve"> и </w:t>
      </w:r>
      <w:r w:rsidR="00BA0CC5">
        <w:rPr>
          <w:sz w:val="28"/>
          <w:szCs w:val="28"/>
        </w:rPr>
        <w:t>2</w:t>
      </w:r>
      <w:r w:rsidR="006D2ED5">
        <w:rPr>
          <w:sz w:val="28"/>
          <w:szCs w:val="28"/>
        </w:rPr>
        <w:t xml:space="preserve"> предписани</w:t>
      </w:r>
      <w:r w:rsidR="00BA0CC5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BD3002" w:rsidRPr="005D1446" w:rsidRDefault="00AD034C" w:rsidP="00685F7F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Сектором внутреннего муниципального финансового контроля </w:t>
      </w:r>
      <w:r w:rsidR="00BD3002">
        <w:rPr>
          <w:sz w:val="28"/>
          <w:szCs w:val="28"/>
        </w:rPr>
        <w:t xml:space="preserve"> копии актов проверок и заключений, составленных по итогам </w:t>
      </w:r>
      <w:r>
        <w:rPr>
          <w:sz w:val="28"/>
          <w:szCs w:val="28"/>
        </w:rPr>
        <w:t>проверок</w:t>
      </w:r>
      <w:r w:rsidR="00BD3002">
        <w:rPr>
          <w:sz w:val="28"/>
          <w:szCs w:val="28"/>
        </w:rPr>
        <w:t xml:space="preserve">, направлены в </w:t>
      </w:r>
      <w:r w:rsidR="00BD3002" w:rsidRPr="005D1446">
        <w:rPr>
          <w:sz w:val="28"/>
          <w:szCs w:val="28"/>
        </w:rPr>
        <w:t>прокуратур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</w:t>
      </w:r>
      <w:r w:rsidR="003121D2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BD3002" w:rsidRDefault="00BD3002" w:rsidP="00685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A0C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жалоб на действия (бездействия) органа контроля при осуществлении им полномочий по внутреннему муниципальному финансовому контролю не поступало.</w:t>
      </w:r>
    </w:p>
    <w:p w:rsidR="00BD3002" w:rsidRDefault="00BD3002" w:rsidP="00BD3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002" w:rsidRPr="00431751" w:rsidRDefault="00BD3002" w:rsidP="00BD3002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431751">
        <w:rPr>
          <w:rFonts w:ascii="Times New Roman" w:hAnsi="Times New Roman" w:cs="Times New Roman"/>
          <w:bCs/>
          <w:sz w:val="28"/>
          <w:szCs w:val="28"/>
        </w:rPr>
        <w:t>Заведующий сектором</w:t>
      </w:r>
    </w:p>
    <w:p w:rsidR="00BD3002" w:rsidRPr="00431751" w:rsidRDefault="00BD3002" w:rsidP="00BD3002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431751">
        <w:rPr>
          <w:rFonts w:ascii="Times New Roman" w:hAnsi="Times New Roman" w:cs="Times New Roman"/>
          <w:bCs/>
          <w:sz w:val="28"/>
          <w:szCs w:val="28"/>
        </w:rPr>
        <w:t xml:space="preserve">по внутреннему муниципальному </w:t>
      </w:r>
    </w:p>
    <w:p w:rsidR="00BD3002" w:rsidRPr="00431751" w:rsidRDefault="00BD3002" w:rsidP="00BD3002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431751">
        <w:rPr>
          <w:rFonts w:ascii="Times New Roman" w:hAnsi="Times New Roman" w:cs="Times New Roman"/>
          <w:bCs/>
          <w:sz w:val="28"/>
          <w:szCs w:val="28"/>
        </w:rPr>
        <w:t>финансовому контролю</w:t>
      </w:r>
      <w:r w:rsidRPr="00431751">
        <w:rPr>
          <w:rFonts w:ascii="Times New Roman" w:hAnsi="Times New Roman" w:cs="Times New Roman"/>
          <w:bCs/>
          <w:sz w:val="28"/>
          <w:szCs w:val="28"/>
        </w:rPr>
        <w:tab/>
      </w:r>
      <w:r w:rsidRPr="00431751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</w:t>
      </w:r>
      <w:r w:rsidR="003121D2" w:rsidRPr="0043175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43175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D034C" w:rsidRPr="00431751">
        <w:rPr>
          <w:rFonts w:ascii="Times New Roman" w:hAnsi="Times New Roman" w:cs="Times New Roman"/>
          <w:bCs/>
          <w:sz w:val="28"/>
          <w:szCs w:val="28"/>
        </w:rPr>
        <w:t>Макарова Т.В.</w:t>
      </w:r>
      <w:r w:rsidRPr="00431751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885005" w:rsidRDefault="00885005" w:rsidP="00BD300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D3002" w:rsidRPr="00DA6B31" w:rsidRDefault="00BD3002" w:rsidP="00BD300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0CC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A0CC5">
        <w:rPr>
          <w:rFonts w:ascii="Times New Roman" w:hAnsi="Times New Roman" w:cs="Times New Roman"/>
          <w:sz w:val="28"/>
          <w:szCs w:val="28"/>
        </w:rPr>
        <w:t>января</w:t>
      </w:r>
      <w:r w:rsidRPr="00DA6B31">
        <w:rPr>
          <w:rFonts w:ascii="Times New Roman" w:hAnsi="Times New Roman" w:cs="Times New Roman"/>
          <w:sz w:val="28"/>
          <w:szCs w:val="28"/>
        </w:rPr>
        <w:t xml:space="preserve"> 202</w:t>
      </w:r>
      <w:r w:rsidR="00BA0CC5">
        <w:rPr>
          <w:rFonts w:ascii="Times New Roman" w:hAnsi="Times New Roman" w:cs="Times New Roman"/>
          <w:sz w:val="28"/>
          <w:szCs w:val="28"/>
        </w:rPr>
        <w:t>2</w:t>
      </w:r>
      <w:r w:rsidRPr="00DA6B3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3002" w:rsidRPr="00DA6B31" w:rsidRDefault="00BD3002" w:rsidP="00BD3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3C9" w:rsidRPr="00407F89" w:rsidRDefault="006033C9" w:rsidP="00BD3002">
      <w:pPr>
        <w:rPr>
          <w:sz w:val="28"/>
          <w:szCs w:val="28"/>
        </w:rPr>
      </w:pPr>
    </w:p>
    <w:sectPr w:rsidR="006033C9" w:rsidRPr="00407F89" w:rsidSect="0088500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6493"/>
    <w:multiLevelType w:val="hybridMultilevel"/>
    <w:tmpl w:val="62E203FC"/>
    <w:lvl w:ilvl="0" w:tplc="99200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1F4"/>
    <w:rsid w:val="00033E8B"/>
    <w:rsid w:val="00050769"/>
    <w:rsid w:val="00066A63"/>
    <w:rsid w:val="000671F4"/>
    <w:rsid w:val="00086FB2"/>
    <w:rsid w:val="00140D1E"/>
    <w:rsid w:val="001422D1"/>
    <w:rsid w:val="002175ED"/>
    <w:rsid w:val="002F543B"/>
    <w:rsid w:val="003121D2"/>
    <w:rsid w:val="003618D6"/>
    <w:rsid w:val="0038017D"/>
    <w:rsid w:val="00407F89"/>
    <w:rsid w:val="00430B14"/>
    <w:rsid w:val="00431751"/>
    <w:rsid w:val="00484FF9"/>
    <w:rsid w:val="006033C9"/>
    <w:rsid w:val="00626807"/>
    <w:rsid w:val="0064241C"/>
    <w:rsid w:val="0068572C"/>
    <w:rsid w:val="00685F7F"/>
    <w:rsid w:val="006D2ED5"/>
    <w:rsid w:val="0070524E"/>
    <w:rsid w:val="00736689"/>
    <w:rsid w:val="0078378D"/>
    <w:rsid w:val="007F0415"/>
    <w:rsid w:val="00885005"/>
    <w:rsid w:val="00893068"/>
    <w:rsid w:val="008E3E92"/>
    <w:rsid w:val="008F53CB"/>
    <w:rsid w:val="00907002"/>
    <w:rsid w:val="00907B79"/>
    <w:rsid w:val="009833FE"/>
    <w:rsid w:val="00986C81"/>
    <w:rsid w:val="009B5320"/>
    <w:rsid w:val="009E3EFB"/>
    <w:rsid w:val="009F60DA"/>
    <w:rsid w:val="00A04E2C"/>
    <w:rsid w:val="00A67B78"/>
    <w:rsid w:val="00AD034C"/>
    <w:rsid w:val="00B6525C"/>
    <w:rsid w:val="00B81ACC"/>
    <w:rsid w:val="00BA0CC5"/>
    <w:rsid w:val="00BD2611"/>
    <w:rsid w:val="00BD3002"/>
    <w:rsid w:val="00C06619"/>
    <w:rsid w:val="00CF5D12"/>
    <w:rsid w:val="00D71123"/>
    <w:rsid w:val="00DA4F5A"/>
    <w:rsid w:val="00E02FAA"/>
    <w:rsid w:val="00E14AD0"/>
    <w:rsid w:val="00E17186"/>
    <w:rsid w:val="00F31AED"/>
    <w:rsid w:val="00F8231E"/>
    <w:rsid w:val="00FA6846"/>
    <w:rsid w:val="00FA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7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671F4"/>
    <w:rPr>
      <w:color w:val="0000FF"/>
      <w:u w:val="single"/>
    </w:rPr>
  </w:style>
  <w:style w:type="table" w:styleId="a4">
    <w:name w:val="Table Grid"/>
    <w:basedOn w:val="a1"/>
    <w:uiPriority w:val="59"/>
    <w:rsid w:val="00705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BD300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B5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-alt.ru/index.php/otdely-i-sluzhby-administratsii/komitet-po-finansam-nalogovoj-i-kreditnoj-politike-administratsii-talmenskogo-rajona-altajskogo-kraya/901-federalnye-standarty-finkomitet/13982-post-1478-ot-16-09-2020-pravila-sostavleniya-otchetnosti-o-rezultatakh-kontrolnoj-deyatel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l-alt.ru/index.php/otdely-i-sluzhby-administratsii/komitet-po-finansam-nalogovoj-i-kreditnoj-politike-administratsii-talmenskogo-rajona-altajskogo-kraya/901-federalnye-standarty-finkomitet/13982-post-1478-ot-16-09-2020-pravila-sostavleniya-otchetnosti-o-rezultatakh-kontrolnoj-deyatelnos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2971814CA56D28F31C9D147AB74D83EBB367D50A12D5438E46147CF897530E857B951B54FCBEBBA3E3400875B53A27C5C16359D59B4F4CJAH0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E2971814CA56D28F31C9D147AB74D83E9B16FD90E16D5438E46147CF897530E977BCD1755F9A9B8A1F6165933JEH0J" TargetMode="External"/><Relationship Id="rId10" Type="http://schemas.openxmlformats.org/officeDocument/2006/relationships/hyperlink" Target="https://tal-alt.ru/index.php/otdely-i-sluzhby-administratsii/komitet-po-finansam-nalogovoj-i-kreditnoj-politike-administratsii-talmenskogo-rajona-altajskogo-kraya/901-federalnye-standarty-finkomitet/13982-post-1478-ot-16-09-2020-pravila-sostavleniya-otchetnosti-o-rezultatakh-kontrolnoj-deyatel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l-alt.ru/index.php/otdely-i-sluzhby-administratsii/komitet-po-finansam-nalogovoj-i-kreditnoj-politike-administratsii-talmenskogo-rajona-altajskogo-kraya/901-federalnye-standarty-finkomitet/13982-post-1478-ot-16-09-2020-pravila-sostavleniya-otchetnosti-o-rezultatakh-kontrolnoj-deyatel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46</cp:revision>
  <cp:lastPrinted>2022-01-19T09:42:00Z</cp:lastPrinted>
  <dcterms:created xsi:type="dcterms:W3CDTF">2021-09-27T06:47:00Z</dcterms:created>
  <dcterms:modified xsi:type="dcterms:W3CDTF">2022-01-19T10:48:00Z</dcterms:modified>
</cp:coreProperties>
</file>